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w Cen MT" w:eastAsiaTheme="minorHAnsi" w:hAnsi="Tw Cen MT" w:cstheme="minorBidi"/>
          <w:color w:val="262626" w:themeColor="text1" w:themeTint="D9"/>
          <w:spacing w:val="0"/>
          <w:sz w:val="18"/>
          <w:szCs w:val="22"/>
        </w:rPr>
        <w:id w:val="1947264483"/>
        <w:docPartObj>
          <w:docPartGallery w:val="Cover Pages"/>
          <w:docPartUnique/>
        </w:docPartObj>
      </w:sdtPr>
      <w:sdtEndPr>
        <w:rPr>
          <w:rFonts w:eastAsiaTheme="minorEastAsia"/>
          <w:color w:val="auto"/>
          <w:sz w:val="28"/>
          <w:szCs w:val="21"/>
          <w:shd w:val="clear" w:color="auto" w:fill="6D1D6A" w:themeFill="accent1" w:themeFillShade="BF"/>
        </w:rPr>
      </w:sdtEndPr>
      <w:sdtContent>
        <w:p w14:paraId="5AF59F26" w14:textId="057BB68D" w:rsidR="00680B19" w:rsidRPr="00704FC6" w:rsidRDefault="00260A7E" w:rsidP="00680B19">
          <w:pPr>
            <w:pStyle w:val="Title"/>
            <w:rPr>
              <w:rFonts w:ascii="Tw Cen MT" w:hAnsi="Tw Cen MT"/>
              <w:sz w:val="56"/>
            </w:rPr>
          </w:pPr>
          <w:r w:rsidRPr="00704FC6">
            <w:rPr>
              <w:rFonts w:ascii="Tw Cen MT" w:hAnsi="Tw Cen MT"/>
              <w:noProof/>
            </w:rPr>
            <w:drawing>
              <wp:anchor distT="0" distB="0" distL="114300" distR="114300" simplePos="0" relativeHeight="251677696" behindDoc="0" locked="0" layoutInCell="1" allowOverlap="1" wp14:anchorId="2B833F25" wp14:editId="2BE49986">
                <wp:simplePos x="0" y="0"/>
                <wp:positionH relativeFrom="column">
                  <wp:posOffset>5133340</wp:posOffset>
                </wp:positionH>
                <wp:positionV relativeFrom="paragraph">
                  <wp:posOffset>-965200</wp:posOffset>
                </wp:positionV>
                <wp:extent cx="1798955" cy="3008630"/>
                <wp:effectExtent l="0" t="0" r="0" b="1270"/>
                <wp:wrapNone/>
                <wp:docPr id="5" name="Picture 9" descr="Washington Student Achievement Council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9" cstate="print">
                          <a:lum bright="70000" contrast="-70000"/>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1798955" cy="3008630"/>
                        </a:xfrm>
                        <a:prstGeom prst="rect">
                          <a:avLst/>
                        </a:prstGeom>
                      </pic:spPr>
                    </pic:pic>
                  </a:graphicData>
                </a:graphic>
                <wp14:sizeRelH relativeFrom="page">
                  <wp14:pctWidth>0</wp14:pctWidth>
                </wp14:sizeRelH>
                <wp14:sizeRelV relativeFrom="page">
                  <wp14:pctHeight>0</wp14:pctHeight>
                </wp14:sizeRelV>
              </wp:anchor>
            </w:drawing>
          </w:r>
          <w:r w:rsidRPr="00704FC6">
            <w:rPr>
              <w:rFonts w:ascii="Tw Cen MT" w:hAnsi="Tw Cen MT"/>
              <w:noProof/>
              <w:sz w:val="56"/>
            </w:rPr>
            <mc:AlternateContent>
              <mc:Choice Requires="wps">
                <w:drawing>
                  <wp:anchor distT="0" distB="0" distL="114300" distR="114300" simplePos="0" relativeHeight="251676672" behindDoc="0" locked="0" layoutInCell="1" allowOverlap="1" wp14:anchorId="0D32E503" wp14:editId="00F478C6">
                    <wp:simplePos x="0" y="0"/>
                    <wp:positionH relativeFrom="column">
                      <wp:posOffset>5024755</wp:posOffset>
                    </wp:positionH>
                    <wp:positionV relativeFrom="paragraph">
                      <wp:posOffset>-1316990</wp:posOffset>
                    </wp:positionV>
                    <wp:extent cx="1998345" cy="3348990"/>
                    <wp:effectExtent l="0" t="0" r="1905" b="3810"/>
                    <wp:wrapNone/>
                    <wp:docPr id="13" name="Rectangle 13" title="Decorative element"/>
                    <wp:cNvGraphicFramePr/>
                    <a:graphic xmlns:a="http://schemas.openxmlformats.org/drawingml/2006/main">
                      <a:graphicData uri="http://schemas.microsoft.com/office/word/2010/wordprocessingShape">
                        <wps:wsp>
                          <wps:cNvSpPr/>
                          <wps:spPr>
                            <a:xfrm>
                              <a:off x="0" y="0"/>
                              <a:ext cx="1998345" cy="334899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24CC9" id="Rectangle 13" o:spid="_x0000_s1026" alt="Title: Decorative element" style="position:absolute;margin-left:395.65pt;margin-top:-103.7pt;width:157.35pt;height:26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UhngIAAKYFAAAOAAAAZHJzL2Uyb0RvYy54bWysVNtOGzEQfa/Uf7D8XjabhJZEbFAEoqqE&#10;AAEVz8ZrZy3ZHtd2skm/vmPvBQqolarmYePxnLkdz8zp2d5oshM+KLAVLY8mlAjLoVZ2U9HvD5ef&#10;TigJkdmaabCiogcR6Nnq44fT1i3FFBrQtfAEndiwbF1FmxjdsigCb4Rh4QicsKiU4A2LKPpNUXvW&#10;oneji+lk8rlowdfOAxch4O1Fp6Sr7F9KweONlEFEoiuKucX89fn7lL7F6pQtN565RvE+DfYPWRim&#10;LAYdXV2wyMjWqzeujOIeAsh4xMEUIKXiIteA1ZSTV9XcN8yJXAuSE9xIU/h/bvn17tYTVePbzSix&#10;zOAb3SFrzG60IOkuqqjx8kJw8CyqnSBCCyNsTNy1LizRxb279b0U8JiI2Etv0j+WSPaZ78PIt9hH&#10;wvGyXCxOZvNjSjjqZrP5yWKRX6R4Nnc+xK8CDEmHinpMLfPMdlchYkiEDpAULYBW9aXSOgupicS5&#10;9mTH8PkZ55h1mdJGq9+Q2ia8hWTZqdNNkarr6smneNAi4bS9ExI5wwqmOZncrW8D5RwaVosu/vEE&#10;f0P0IbWcS3aY0BLjj77LP/nusuzxyVTkZh+NJ383Hi1yZLBxNDbKgn/PgR7pkx1+IKmjJrH0BPUB&#10;O8pDN2rB8UuFT3fFQrxlHmcLpxD3RbzBj9TQVhT6EyUN+J/v3Sc8tjxqKWlxVisafmyZF5TobxaH&#10;YVHO52m4szA//jJFwb/UPL3U2K05B+yHEjeT4/mY8FEPR+nBPOJaWaeoqGKWY+yK8ugH4Tx2OwQX&#10;ExfrdYbhQDsWr+y948l5YjW15sP+kXnX92/E1r+GYa7Z8lUbd9hkaWG9jSBV7vFnXnu+cRnkxukX&#10;V9o2L+WMel6vq18AAAD//wMAUEsDBBQABgAIAAAAIQCdSKzE4QAAAA0BAAAPAAAAZHJzL2Rvd25y&#10;ZXYueG1sTI/LTsMwEEX3SPyDNUjsWjstpBAyqQCJrqFUCHZu7MYR8UOx06R8PdMVLEdzdO+55Xqy&#10;HTvqPrbeIWRzAUy72qvWNQi795fZHbCYpFOy804jnHSEdXV5UcpC+dG96eM2NYxCXCwkgkkpFJzH&#10;2mgr49wH7eh38L2Vic6+4aqXI4Xbji+EyLmVraMGI4N+Nrr+3g4WIWx2r18H8xTG/PRxu5ma4fOn&#10;HRCvr6bHB2BJT+kPhrM+qUNFTns/OBVZh7C6z5aEIswWYnUD7IxkIqd9e4QldQOvSv5/RfULAAD/&#10;/wMAUEsBAi0AFAAGAAgAAAAhALaDOJL+AAAA4QEAABMAAAAAAAAAAAAAAAAAAAAAAFtDb250ZW50&#10;X1R5cGVzXS54bWxQSwECLQAUAAYACAAAACEAOP0h/9YAAACUAQAACwAAAAAAAAAAAAAAAAAvAQAA&#10;X3JlbHMvLnJlbHNQSwECLQAUAAYACAAAACEABrIFIZ4CAACmBQAADgAAAAAAAAAAAAAAAAAuAgAA&#10;ZHJzL2Uyb0RvYy54bWxQSwECLQAUAAYACAAAACEAnUisxOEAAAANAQAADwAAAAAAAAAAAAAAAAD4&#10;BAAAZHJzL2Rvd25yZXYueG1sUEsFBgAAAAAEAAQA8wAAAAYGAAAAAA==&#10;" fillcolor="#92278f [3204]" stroked="f" strokeweight="2pt"/>
                </w:pict>
              </mc:Fallback>
            </mc:AlternateContent>
          </w:r>
          <w:r w:rsidRPr="00704FC6">
            <w:rPr>
              <w:rFonts w:ascii="Tw Cen MT" w:hAnsi="Tw Cen MT"/>
              <w:noProof/>
              <w:sz w:val="56"/>
            </w:rPr>
            <mc:AlternateContent>
              <mc:Choice Requires="wps">
                <w:drawing>
                  <wp:anchor distT="0" distB="0" distL="114300" distR="114300" simplePos="0" relativeHeight="251675648" behindDoc="0" locked="0" layoutInCell="1" allowOverlap="1" wp14:anchorId="3AEF53DD" wp14:editId="7926E13B">
                    <wp:simplePos x="0" y="0"/>
                    <wp:positionH relativeFrom="column">
                      <wp:posOffset>-1022350</wp:posOffset>
                    </wp:positionH>
                    <wp:positionV relativeFrom="paragraph">
                      <wp:posOffset>-914400</wp:posOffset>
                    </wp:positionV>
                    <wp:extent cx="5943600" cy="2926080"/>
                    <wp:effectExtent l="0" t="0" r="19050" b="26670"/>
                    <wp:wrapNone/>
                    <wp:docPr id="3" name="Rectangle 3" title="Decorative element"/>
                    <wp:cNvGraphicFramePr/>
                    <a:graphic xmlns:a="http://schemas.openxmlformats.org/drawingml/2006/main">
                      <a:graphicData uri="http://schemas.microsoft.com/office/word/2010/wordprocessingShape">
                        <wps:wsp>
                          <wps:cNvSpPr/>
                          <wps:spPr>
                            <a:xfrm>
                              <a:off x="0" y="0"/>
                              <a:ext cx="5943600" cy="2926080"/>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8DF74" id="Rectangle 3" o:spid="_x0000_s1026" alt="Title: Decorative element" style="position:absolute;margin-left:-80.5pt;margin-top:-1in;width:468pt;height:23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OyrgIAABAGAAAOAAAAZHJzL2Uyb0RvYy54bWy0VFFv2yAQfp+0/4B4X+2kaddGdaqoVadJ&#10;XRu1nfpMMMRIwDEgcbJfvwM7btZVmzRtfsAcd/fd3Qd3F5dbo8lG+KDAVnR0VFIiLIda2VVFvz7d&#10;fDijJERma6bBioruRKCXs/fvLlo3FWNoQNfCEwSxYdq6ijYxumlRBN4Iw8IROGFRKcEbFlH0q6L2&#10;rEV0o4txWZ4WLfjaeeAiBDy97pR0lvGlFDzeSxlEJLqimFvMq8/rMq3F7IJNV565RvE+DfYXWRim&#10;LAYdoK5ZZGTt1S9QRnEPAWQ84mAKkFJxkWvAakblq2oeG+ZErgXJCW6gKfw7WH63WXii6ooeU2KZ&#10;wSt6QNKYXWlB8CiqqPHsWnDwLKqNIEILI2xMzLUuTBHg0S18LwXcJhq20pv0xwLJNrO9G9gW20g4&#10;Hp6cT45PS7wUjrrx+fi0PMv3Uby4Ox/iJwGGpE1FPWaWWWab2xAxJJruTVK0AFrVN0rrLKQnJK60&#10;JxuGl79cjbKrXpsvUHdnJyV+qRDEyS8umXfSIZK2/w0cAyf0IjHZcZd3cadFiqntg5B4O8jWOGc/&#10;ZNkVwDjHq+gKCw2rxZ/qyoAJWSJLA3YP8DNhe+yOnt4+uYrcVoNz+bvEOufBI0cGGwdnoyz4twA0&#10;VtVH7uz3JHXUJJaWUO/w7Xromjo4fqPwmdyyEBfMYxfj08LJFO9xkRraikK/o6QB//2t82SPzYVa&#10;SlqcChUN39bMC0r0Z4ttdz6aTNIYycLk5OMYBX+oWR5q7NpcAb69Ec5Ax/M22Ue930oP5hkH2DxF&#10;RRWzHGNXlEe/F65iN61wBHIxn2czHB2OxVv76HgCT6ymNnjaPjPv+l6J2GZ3sJ8gbPqqZTrb5Glh&#10;vo4gVe6nF157vnHs5IboR2Saa4dytnoZ5LMfAAAA//8DAFBLAwQUAAYACAAAACEAx4LHWeIAAAAN&#10;AQAADwAAAGRycy9kb3ducmV2LnhtbEyPwU7DMBBE70j8g7VI3FrHUNIS4lSoEgiJQ0WoenZikwTs&#10;dYjdNPTr2Z7g9kY7mp3J15OzbDRD6DxKEPMEmMHa6w4bCbv3p9kKWIgKtbIejYQfE2BdXF7kKtP+&#10;iG9mLGPDKARDpiS0MfYZ56FujVNh7nuDdPvwg1OR5NBwPagjhTvLb5Ik5U51SB9a1ZtNa+qv8uAk&#10;TPen8Vt8nixuy5fn173fVInqpLy+mh4fgEUzxT8znOtTdSioU+UPqAOzEmYiFTQmnmmxICLPcnlH&#10;UEm4FekKeJHz/yuKXwAAAP//AwBQSwECLQAUAAYACAAAACEAtoM4kv4AAADhAQAAEwAAAAAAAAAA&#10;AAAAAAAAAAAAW0NvbnRlbnRfVHlwZXNdLnhtbFBLAQItABQABgAIAAAAIQA4/SH/1gAAAJQBAAAL&#10;AAAAAAAAAAAAAAAAAC8BAABfcmVscy8ucmVsc1BLAQItABQABgAIAAAAIQAVFkOyrgIAABAGAAAO&#10;AAAAAAAAAAAAAAAAAC4CAABkcnMvZTJvRG9jLnhtbFBLAQItABQABgAIAAAAIQDHgsdZ4gAAAA0B&#10;AAAPAAAAAAAAAAAAAAAAAAgFAABkcnMvZG93bnJldi54bWxQSwUGAAAAAAQABADzAAAAFwYAAAAA&#10;" fillcolor="#7f7f7f [1612]" strokecolor="#7f7f7f [1612]" strokeweight="2pt"/>
                </w:pict>
              </mc:Fallback>
            </mc:AlternateContent>
          </w:r>
        </w:p>
        <w:p w14:paraId="1BE74BF3" w14:textId="77777777" w:rsidR="00680B19" w:rsidRPr="00704FC6" w:rsidRDefault="00680B19" w:rsidP="00680B19">
          <w:pPr>
            <w:pStyle w:val="Title"/>
            <w:rPr>
              <w:rFonts w:ascii="Tw Cen MT" w:hAnsi="Tw Cen MT"/>
              <w:sz w:val="56"/>
            </w:rPr>
          </w:pPr>
        </w:p>
        <w:p w14:paraId="13596646" w14:textId="77777777" w:rsidR="00680B19" w:rsidRPr="00704FC6" w:rsidRDefault="00680B19" w:rsidP="00680B19">
          <w:pPr>
            <w:pStyle w:val="Title"/>
            <w:rPr>
              <w:rFonts w:ascii="Tw Cen MT" w:hAnsi="Tw Cen MT"/>
              <w:sz w:val="56"/>
            </w:rPr>
          </w:pPr>
        </w:p>
        <w:p w14:paraId="67B5395C" w14:textId="77777777" w:rsidR="00680B19" w:rsidRPr="00704FC6" w:rsidRDefault="00680B19" w:rsidP="00680B19">
          <w:pPr>
            <w:pStyle w:val="Title"/>
            <w:rPr>
              <w:rFonts w:ascii="Tw Cen MT" w:hAnsi="Tw Cen MT"/>
              <w:sz w:val="56"/>
            </w:rPr>
          </w:pPr>
        </w:p>
        <w:p w14:paraId="2E666586" w14:textId="77777777" w:rsidR="00680B19" w:rsidRPr="00704FC6" w:rsidRDefault="00680B19" w:rsidP="00680B19">
          <w:pPr>
            <w:pStyle w:val="Title"/>
            <w:rPr>
              <w:rFonts w:ascii="Tw Cen MT" w:hAnsi="Tw Cen MT"/>
              <w:sz w:val="56"/>
            </w:rPr>
          </w:pPr>
        </w:p>
        <w:p w14:paraId="29519D1F" w14:textId="77777777" w:rsidR="00680B19" w:rsidRPr="00704FC6" w:rsidRDefault="00680B19" w:rsidP="00680B19">
          <w:pPr>
            <w:pStyle w:val="Title"/>
            <w:rPr>
              <w:rFonts w:ascii="Tw Cen MT" w:hAnsi="Tw Cen MT"/>
              <w:noProof/>
              <w:sz w:val="56"/>
            </w:rPr>
          </w:pPr>
        </w:p>
        <w:p w14:paraId="367A3AB6" w14:textId="05938A2D" w:rsidR="00680B19" w:rsidRPr="00724167" w:rsidRDefault="00680B19" w:rsidP="00724167">
          <w:pPr>
            <w:pStyle w:val="Title"/>
            <w:rPr>
              <w:sz w:val="52"/>
              <w:szCs w:val="72"/>
            </w:rPr>
          </w:pPr>
          <w:r w:rsidRPr="00724167">
            <w:rPr>
              <w:sz w:val="52"/>
              <w:szCs w:val="72"/>
            </w:rPr>
            <w:t>Supporting Transgender</w:t>
          </w:r>
          <w:r w:rsidR="00724167" w:rsidRPr="00724167">
            <w:rPr>
              <w:sz w:val="52"/>
              <w:szCs w:val="72"/>
            </w:rPr>
            <w:t xml:space="preserve"> and Nonbinary</w:t>
          </w:r>
          <w:r w:rsidRPr="00724167">
            <w:rPr>
              <w:sz w:val="52"/>
              <w:szCs w:val="72"/>
            </w:rPr>
            <w:t xml:space="preserve"> Students: College Admissions &amp; Financial Aid </w:t>
          </w:r>
        </w:p>
        <w:p w14:paraId="0A2B217A" w14:textId="77777777" w:rsidR="00680B19" w:rsidRPr="00704FC6" w:rsidRDefault="00680B19" w:rsidP="00704FC6">
          <w:pPr>
            <w:pStyle w:val="Subtitle"/>
            <w:pBdr>
              <w:top w:val="single" w:sz="4" w:space="1" w:color="auto"/>
            </w:pBdr>
            <w:rPr>
              <w:sz w:val="36"/>
            </w:rPr>
          </w:pPr>
          <w:r w:rsidRPr="00704FC6">
            <w:rPr>
              <w:sz w:val="36"/>
            </w:rPr>
            <w:t xml:space="preserve">Resource Guide for </w:t>
          </w:r>
          <w:r w:rsidR="00963F37" w:rsidRPr="00704FC6">
            <w:rPr>
              <w:sz w:val="36"/>
            </w:rPr>
            <w:t>College Access Professionals</w:t>
          </w:r>
        </w:p>
        <w:p w14:paraId="33AFF221" w14:textId="77777777" w:rsidR="00680B19" w:rsidRPr="00704FC6" w:rsidRDefault="00680B19" w:rsidP="00704FC6">
          <w:pPr>
            <w:pStyle w:val="Subtitle"/>
          </w:pPr>
          <w:bookmarkStart w:id="0" w:name="_GoBack"/>
          <w:bookmarkEnd w:id="0"/>
        </w:p>
        <w:p w14:paraId="7FE8A74A" w14:textId="77777777" w:rsidR="00680B19" w:rsidRPr="00704FC6" w:rsidRDefault="00680B19" w:rsidP="00680B19">
          <w:pPr>
            <w:pStyle w:val="NoSpacing"/>
            <w:jc w:val="center"/>
            <w:rPr>
              <w:rFonts w:ascii="Tw Cen MT" w:hAnsi="Tw Cen MT"/>
            </w:rPr>
          </w:pPr>
          <w:r w:rsidRPr="00704FC6">
            <w:rPr>
              <w:rFonts w:ascii="Tw Cen MT" w:hAnsi="Tw Cen MT"/>
              <w:noProof/>
            </w:rPr>
            <w:drawing>
              <wp:anchor distT="0" distB="0" distL="114300" distR="114300" simplePos="0" relativeHeight="251679744" behindDoc="0" locked="0" layoutInCell="1" allowOverlap="1" wp14:anchorId="328A0BDD" wp14:editId="3900CF66">
                <wp:simplePos x="0" y="0"/>
                <wp:positionH relativeFrom="margin">
                  <wp:align>center</wp:align>
                </wp:positionH>
                <wp:positionV relativeFrom="margin">
                  <wp:align>bottom</wp:align>
                </wp:positionV>
                <wp:extent cx="5933440" cy="1028700"/>
                <wp:effectExtent l="0" t="0" r="0" b="0"/>
                <wp:wrapSquare wrapText="bothSides"/>
                <wp:docPr id="14" name="Picture 14" descr="Logos for Washington State GEAR UP, the College Bound Scholarship, and the 12th Year Campaign." title="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PNG"/>
                        <pic:cNvPicPr/>
                      </pic:nvPicPr>
                      <pic:blipFill>
                        <a:blip r:embed="rId11">
                          <a:extLst>
                            <a:ext uri="{28A0092B-C50C-407E-A947-70E740481C1C}">
                              <a14:useLocalDpi xmlns:a14="http://schemas.microsoft.com/office/drawing/2010/main" val="0"/>
                            </a:ext>
                          </a:extLst>
                        </a:blip>
                        <a:stretch>
                          <a:fillRect/>
                        </a:stretch>
                      </pic:blipFill>
                      <pic:spPr>
                        <a:xfrm>
                          <a:off x="0" y="0"/>
                          <a:ext cx="5933440" cy="1028700"/>
                        </a:xfrm>
                        <a:prstGeom prst="rect">
                          <a:avLst/>
                        </a:prstGeom>
                      </pic:spPr>
                    </pic:pic>
                  </a:graphicData>
                </a:graphic>
              </wp:anchor>
            </w:drawing>
          </w:r>
          <w:r w:rsidRPr="00704FC6">
            <w:rPr>
              <w:rFonts w:ascii="Tw Cen MT" w:hAnsi="Tw Cen MT"/>
            </w:rPr>
            <w:br w:type="page"/>
          </w:r>
        </w:p>
        <w:p w14:paraId="4D98958A" w14:textId="5D78DF1B" w:rsidR="00680B19" w:rsidRPr="00704FC6" w:rsidRDefault="00724167" w:rsidP="00680B19">
          <w:pPr>
            <w:tabs>
              <w:tab w:val="left" w:pos="6893"/>
            </w:tabs>
            <w:rPr>
              <w:rFonts w:ascii="Tw Cen MT" w:hAnsi="Tw Cen MT"/>
            </w:rPr>
          </w:pPr>
        </w:p>
      </w:sdtContent>
    </w:sdt>
    <w:p w14:paraId="71ADA167" w14:textId="77777777" w:rsidR="00680B19" w:rsidRPr="00704FC6" w:rsidRDefault="00680B19" w:rsidP="00704FC6">
      <w:pPr>
        <w:pStyle w:val="Heading1"/>
      </w:pPr>
      <w:bookmarkStart w:id="1" w:name="_Toc405548966"/>
      <w:bookmarkStart w:id="2" w:name="_Toc451857730"/>
      <w:r w:rsidRPr="00704FC6">
        <w:t>Introduction</w:t>
      </w:r>
      <w:bookmarkEnd w:id="1"/>
      <w:bookmarkEnd w:id="2"/>
      <w:r w:rsidRPr="00704FC6">
        <w:tab/>
      </w:r>
    </w:p>
    <w:p w14:paraId="2D15D731" w14:textId="253AB9C4" w:rsidR="00680B19" w:rsidRPr="00704FC6" w:rsidRDefault="00680B19" w:rsidP="00963F37">
      <w:pPr>
        <w:rPr>
          <w:rFonts w:ascii="Tw Cen MT" w:hAnsi="Tw Cen MT"/>
          <w:sz w:val="24"/>
        </w:rPr>
      </w:pPr>
      <w:r w:rsidRPr="00704FC6">
        <w:rPr>
          <w:rFonts w:ascii="Tw Cen MT" w:hAnsi="Tw Cen MT"/>
          <w:sz w:val="24"/>
        </w:rPr>
        <w:t xml:space="preserve">This resource guide is designed to assist </w:t>
      </w:r>
      <w:r w:rsidR="00963F37" w:rsidRPr="00704FC6">
        <w:rPr>
          <w:rFonts w:ascii="Tw Cen MT" w:hAnsi="Tw Cen MT"/>
          <w:sz w:val="24"/>
        </w:rPr>
        <w:t>college access professionals</w:t>
      </w:r>
      <w:r w:rsidRPr="00704FC6">
        <w:rPr>
          <w:rFonts w:ascii="Tw Cen MT" w:hAnsi="Tw Cen MT"/>
          <w:sz w:val="24"/>
        </w:rPr>
        <w:t xml:space="preserve"> who work with high school students who identify as </w:t>
      </w:r>
      <w:r w:rsidR="00963F37" w:rsidRPr="00704FC6">
        <w:rPr>
          <w:rFonts w:ascii="Tw Cen MT" w:hAnsi="Tw Cen MT"/>
          <w:sz w:val="24"/>
        </w:rPr>
        <w:t>lesbian, gay, bisexual, transgender,</w:t>
      </w:r>
      <w:r w:rsidR="00163FEC">
        <w:rPr>
          <w:rFonts w:ascii="Tw Cen MT" w:hAnsi="Tw Cen MT"/>
          <w:sz w:val="24"/>
        </w:rPr>
        <w:t xml:space="preserve"> non-binary, or queer (LGBTQ+)</w:t>
      </w:r>
      <w:r w:rsidR="00963F37" w:rsidRPr="00704FC6">
        <w:rPr>
          <w:rFonts w:ascii="Tw Cen MT" w:hAnsi="Tw Cen MT"/>
          <w:sz w:val="24"/>
        </w:rPr>
        <w:t xml:space="preserve">. The information provided </w:t>
      </w:r>
      <w:r w:rsidR="00223915" w:rsidRPr="00704FC6">
        <w:rPr>
          <w:rFonts w:ascii="Tw Cen MT" w:hAnsi="Tw Cen MT"/>
          <w:sz w:val="24"/>
        </w:rPr>
        <w:t xml:space="preserve">has an emphasis </w:t>
      </w:r>
      <w:r w:rsidR="00963F37" w:rsidRPr="00704FC6">
        <w:rPr>
          <w:rFonts w:ascii="Tw Cen MT" w:hAnsi="Tw Cen MT"/>
          <w:sz w:val="24"/>
        </w:rPr>
        <w:t xml:space="preserve">on supporting transgender youth who plan to continue their education at a postsecondary institution. </w:t>
      </w:r>
      <w:r w:rsidR="00E61CC5" w:rsidRPr="00704FC6">
        <w:rPr>
          <w:rFonts w:ascii="Tw Cen MT" w:hAnsi="Tw Cen MT"/>
          <w:sz w:val="24"/>
        </w:rPr>
        <w:t xml:space="preserve">This guide </w:t>
      </w:r>
      <w:r w:rsidR="00223915" w:rsidRPr="00704FC6">
        <w:rPr>
          <w:rFonts w:ascii="Tw Cen MT" w:hAnsi="Tw Cen MT"/>
          <w:sz w:val="24"/>
        </w:rPr>
        <w:t xml:space="preserve">is not intended as legal advice and </w:t>
      </w:r>
      <w:r w:rsidR="00E61CC5" w:rsidRPr="00704FC6">
        <w:rPr>
          <w:rFonts w:ascii="Tw Cen MT" w:hAnsi="Tw Cen MT"/>
          <w:sz w:val="24"/>
        </w:rPr>
        <w:t xml:space="preserve">has been </w:t>
      </w:r>
      <w:r w:rsidR="00963F37" w:rsidRPr="00704FC6">
        <w:rPr>
          <w:rFonts w:ascii="Tw Cen MT" w:hAnsi="Tw Cen MT"/>
          <w:sz w:val="24"/>
        </w:rPr>
        <w:t>compiled</w:t>
      </w:r>
      <w:r w:rsidR="00E61CC5" w:rsidRPr="00704FC6">
        <w:rPr>
          <w:rFonts w:ascii="Tw Cen MT" w:hAnsi="Tw Cen MT"/>
          <w:sz w:val="24"/>
        </w:rPr>
        <w:t xml:space="preserve"> from a variety</w:t>
      </w:r>
      <w:r w:rsidR="00963F37" w:rsidRPr="00704FC6">
        <w:rPr>
          <w:rFonts w:ascii="Tw Cen MT" w:hAnsi="Tw Cen MT"/>
          <w:sz w:val="24"/>
        </w:rPr>
        <w:t xml:space="preserve"> of sources</w:t>
      </w:r>
      <w:r w:rsidR="00223915" w:rsidRPr="00704FC6">
        <w:rPr>
          <w:rFonts w:ascii="Tw Cen MT" w:hAnsi="Tw Cen MT"/>
          <w:sz w:val="24"/>
        </w:rPr>
        <w:t xml:space="preserve"> (see page ten).</w:t>
      </w:r>
      <w:r w:rsidR="00E61CC5" w:rsidRPr="00704FC6">
        <w:rPr>
          <w:rFonts w:ascii="Tw Cen MT" w:hAnsi="Tw Cen MT"/>
          <w:sz w:val="24"/>
        </w:rPr>
        <w:t xml:space="preserve"> Students should contact the</w:t>
      </w:r>
      <w:r w:rsidR="00807B44" w:rsidRPr="00704FC6">
        <w:rPr>
          <w:rFonts w:ascii="Tw Cen MT" w:hAnsi="Tw Cen MT"/>
          <w:sz w:val="24"/>
        </w:rPr>
        <w:t>ir prospective</w:t>
      </w:r>
      <w:r w:rsidR="00E61CC5" w:rsidRPr="00704FC6">
        <w:rPr>
          <w:rFonts w:ascii="Tw Cen MT" w:hAnsi="Tw Cen MT"/>
          <w:sz w:val="24"/>
        </w:rPr>
        <w:t xml:space="preserve"> postsecondary </w:t>
      </w:r>
      <w:r w:rsidR="00963F37" w:rsidRPr="00704FC6">
        <w:rPr>
          <w:rFonts w:ascii="Tw Cen MT" w:hAnsi="Tw Cen MT"/>
          <w:sz w:val="24"/>
        </w:rPr>
        <w:t>institution</w:t>
      </w:r>
      <w:r w:rsidR="00807B44" w:rsidRPr="00704FC6">
        <w:rPr>
          <w:rFonts w:ascii="Tw Cen MT" w:hAnsi="Tw Cen MT"/>
          <w:sz w:val="24"/>
        </w:rPr>
        <w:t>s</w:t>
      </w:r>
      <w:r w:rsidR="00963F37" w:rsidRPr="00704FC6">
        <w:rPr>
          <w:rFonts w:ascii="Tw Cen MT" w:hAnsi="Tw Cen MT"/>
          <w:sz w:val="24"/>
        </w:rPr>
        <w:t xml:space="preserve"> </w:t>
      </w:r>
      <w:r w:rsidR="00E61CC5" w:rsidRPr="00704FC6">
        <w:rPr>
          <w:rFonts w:ascii="Tw Cen MT" w:hAnsi="Tw Cen MT"/>
          <w:sz w:val="24"/>
        </w:rPr>
        <w:t xml:space="preserve">or Federal Student Aid for specific guidance. </w:t>
      </w:r>
    </w:p>
    <w:p w14:paraId="39ED467F" w14:textId="77777777" w:rsidR="008E63FF" w:rsidRPr="00704FC6" w:rsidRDefault="008E63FF" w:rsidP="00D076FB">
      <w:pPr>
        <w:rPr>
          <w:rFonts w:ascii="Tw Cen MT" w:hAnsi="Tw Cen MT"/>
        </w:rPr>
      </w:pPr>
    </w:p>
    <w:sdt>
      <w:sdtPr>
        <w:rPr>
          <w:rFonts w:ascii="Tw Cen MT" w:eastAsiaTheme="minorHAnsi" w:hAnsi="Tw Cen MT" w:cstheme="minorBidi"/>
          <w:color w:val="262626" w:themeColor="text1" w:themeTint="D9"/>
          <w:sz w:val="18"/>
          <w:szCs w:val="22"/>
        </w:rPr>
        <w:id w:val="-371842802"/>
        <w:docPartObj>
          <w:docPartGallery w:val="Table of Contents"/>
          <w:docPartUnique/>
        </w:docPartObj>
      </w:sdtPr>
      <w:sdtEndPr>
        <w:rPr>
          <w:rFonts w:eastAsiaTheme="minorEastAsia"/>
          <w:b/>
          <w:bCs/>
          <w:noProof/>
          <w:color w:val="auto"/>
          <w:sz w:val="24"/>
          <w:szCs w:val="24"/>
        </w:rPr>
      </w:sdtEndPr>
      <w:sdtContent>
        <w:p w14:paraId="5EB64BDA" w14:textId="77777777" w:rsidR="008E63FF" w:rsidRPr="00704FC6" w:rsidRDefault="008E63FF">
          <w:pPr>
            <w:pStyle w:val="TOCHeading"/>
          </w:pPr>
          <w:r w:rsidRPr="00704FC6">
            <w:t>Table of Contents</w:t>
          </w:r>
        </w:p>
        <w:p w14:paraId="1288E29C" w14:textId="77E28B2E" w:rsidR="00BF0972" w:rsidRPr="00704FC6" w:rsidRDefault="008E63FF" w:rsidP="00BF0972">
          <w:pPr>
            <w:pStyle w:val="TOC1"/>
            <w:tabs>
              <w:tab w:val="right" w:leader="dot" w:pos="9350"/>
            </w:tabs>
            <w:rPr>
              <w:rFonts w:ascii="Tw Cen MT" w:hAnsi="Tw Cen MT"/>
              <w:noProof/>
              <w:sz w:val="24"/>
              <w:szCs w:val="24"/>
            </w:rPr>
          </w:pPr>
          <w:r w:rsidRPr="00704FC6">
            <w:rPr>
              <w:rFonts w:ascii="Tw Cen MT" w:hAnsi="Tw Cen MT"/>
              <w:sz w:val="24"/>
              <w:szCs w:val="24"/>
            </w:rPr>
            <w:fldChar w:fldCharType="begin"/>
          </w:r>
          <w:r w:rsidRPr="00704FC6">
            <w:rPr>
              <w:rFonts w:ascii="Tw Cen MT" w:hAnsi="Tw Cen MT"/>
              <w:sz w:val="24"/>
              <w:szCs w:val="24"/>
            </w:rPr>
            <w:instrText xml:space="preserve"> TOC \o "1-3" \h \z \u </w:instrText>
          </w:r>
          <w:r w:rsidRPr="00704FC6">
            <w:rPr>
              <w:rFonts w:ascii="Tw Cen MT" w:hAnsi="Tw Cen MT"/>
              <w:sz w:val="24"/>
              <w:szCs w:val="24"/>
            </w:rPr>
            <w:fldChar w:fldCharType="separate"/>
          </w:r>
          <w:hyperlink w:anchor="_Toc451857732" w:history="1">
            <w:r w:rsidR="00BF0972" w:rsidRPr="00704FC6">
              <w:rPr>
                <w:rStyle w:val="Hyperlink"/>
                <w:rFonts w:ascii="Tw Cen MT" w:hAnsi="Tw Cen MT"/>
                <w:noProof/>
                <w:sz w:val="24"/>
                <w:szCs w:val="24"/>
              </w:rPr>
              <w:t>Applying to College as an LGBTQ Student</w:t>
            </w:r>
            <w:r w:rsidR="00BF0972" w:rsidRPr="00704FC6">
              <w:rPr>
                <w:rFonts w:ascii="Tw Cen MT" w:hAnsi="Tw Cen MT"/>
                <w:noProof/>
                <w:webHidden/>
                <w:sz w:val="24"/>
                <w:szCs w:val="24"/>
              </w:rPr>
              <w:tab/>
              <w:t>2</w:t>
            </w:r>
          </w:hyperlink>
        </w:p>
        <w:p w14:paraId="286A2A2E" w14:textId="3F1F46B1" w:rsidR="00BF0972" w:rsidRPr="00704FC6" w:rsidRDefault="00724167" w:rsidP="00BF0972">
          <w:pPr>
            <w:pStyle w:val="TOC2"/>
            <w:tabs>
              <w:tab w:val="right" w:leader="dot" w:pos="9350"/>
            </w:tabs>
            <w:ind w:left="0"/>
            <w:rPr>
              <w:rFonts w:ascii="Tw Cen MT" w:hAnsi="Tw Cen MT"/>
              <w:noProof/>
              <w:sz w:val="24"/>
              <w:szCs w:val="24"/>
            </w:rPr>
          </w:pPr>
          <w:hyperlink w:anchor="_Toc451857734" w:history="1">
            <w:r w:rsidR="00BF0972" w:rsidRPr="00704FC6">
              <w:rPr>
                <w:rStyle w:val="Hyperlink"/>
                <w:rFonts w:ascii="Tw Cen MT" w:hAnsi="Tw Cen MT"/>
                <w:noProof/>
                <w:sz w:val="24"/>
                <w:szCs w:val="24"/>
              </w:rPr>
              <w:t>Assessing the LGBTQ Friendliness of a Campus</w:t>
            </w:r>
            <w:r w:rsidR="00BF0972" w:rsidRPr="00704FC6">
              <w:rPr>
                <w:rFonts w:ascii="Tw Cen MT" w:hAnsi="Tw Cen MT"/>
                <w:noProof/>
                <w:webHidden/>
                <w:sz w:val="24"/>
                <w:szCs w:val="24"/>
              </w:rPr>
              <w:tab/>
            </w:r>
            <w:r w:rsidR="00BF0972" w:rsidRPr="00704FC6">
              <w:rPr>
                <w:rFonts w:ascii="Tw Cen MT" w:hAnsi="Tw Cen MT"/>
                <w:noProof/>
                <w:webHidden/>
                <w:sz w:val="24"/>
                <w:szCs w:val="24"/>
              </w:rPr>
              <w:fldChar w:fldCharType="begin"/>
            </w:r>
            <w:r w:rsidR="00BF0972" w:rsidRPr="00704FC6">
              <w:rPr>
                <w:rFonts w:ascii="Tw Cen MT" w:hAnsi="Tw Cen MT"/>
                <w:noProof/>
                <w:webHidden/>
                <w:sz w:val="24"/>
                <w:szCs w:val="24"/>
              </w:rPr>
              <w:instrText xml:space="preserve"> PAGEREF _Toc451857734 \h </w:instrText>
            </w:r>
            <w:r w:rsidR="00BF0972" w:rsidRPr="00704FC6">
              <w:rPr>
                <w:rFonts w:ascii="Tw Cen MT" w:hAnsi="Tw Cen MT"/>
                <w:noProof/>
                <w:webHidden/>
                <w:sz w:val="24"/>
                <w:szCs w:val="24"/>
              </w:rPr>
            </w:r>
            <w:r w:rsidR="00BF0972" w:rsidRPr="00704FC6">
              <w:rPr>
                <w:rFonts w:ascii="Tw Cen MT" w:hAnsi="Tw Cen MT"/>
                <w:noProof/>
                <w:webHidden/>
                <w:sz w:val="24"/>
                <w:szCs w:val="24"/>
              </w:rPr>
              <w:fldChar w:fldCharType="separate"/>
            </w:r>
            <w:r w:rsidR="00260A7E">
              <w:rPr>
                <w:rFonts w:ascii="Tw Cen MT" w:hAnsi="Tw Cen MT"/>
                <w:noProof/>
                <w:webHidden/>
                <w:sz w:val="24"/>
                <w:szCs w:val="24"/>
              </w:rPr>
              <w:t>2</w:t>
            </w:r>
            <w:r w:rsidR="00BF0972" w:rsidRPr="00704FC6">
              <w:rPr>
                <w:rFonts w:ascii="Tw Cen MT" w:hAnsi="Tw Cen MT"/>
                <w:noProof/>
                <w:webHidden/>
                <w:sz w:val="24"/>
                <w:szCs w:val="24"/>
              </w:rPr>
              <w:fldChar w:fldCharType="end"/>
            </w:r>
          </w:hyperlink>
        </w:p>
        <w:p w14:paraId="0BE0E056" w14:textId="18635835" w:rsidR="00BF0972" w:rsidRPr="00704FC6" w:rsidRDefault="00724167" w:rsidP="00BF0972">
          <w:pPr>
            <w:pStyle w:val="TOC2"/>
            <w:tabs>
              <w:tab w:val="right" w:leader="dot" w:pos="9350"/>
            </w:tabs>
            <w:ind w:left="0"/>
            <w:rPr>
              <w:rFonts w:ascii="Tw Cen MT" w:hAnsi="Tw Cen MT"/>
              <w:noProof/>
              <w:sz w:val="24"/>
              <w:szCs w:val="24"/>
            </w:rPr>
          </w:pPr>
          <w:hyperlink w:anchor="_Toc451857735" w:history="1">
            <w:r w:rsidR="00BF0972" w:rsidRPr="00704FC6">
              <w:rPr>
                <w:rStyle w:val="Hyperlink"/>
                <w:rFonts w:ascii="Tw Cen MT" w:hAnsi="Tw Cen MT"/>
                <w:noProof/>
                <w:sz w:val="24"/>
                <w:szCs w:val="24"/>
              </w:rPr>
              <w:t>LGBTQ Resources on Campus</w:t>
            </w:r>
            <w:r w:rsidR="00BF0972" w:rsidRPr="00704FC6">
              <w:rPr>
                <w:rFonts w:ascii="Tw Cen MT" w:hAnsi="Tw Cen MT"/>
                <w:noProof/>
                <w:webHidden/>
                <w:sz w:val="24"/>
                <w:szCs w:val="24"/>
              </w:rPr>
              <w:tab/>
            </w:r>
            <w:r w:rsidR="00BF0972" w:rsidRPr="00704FC6">
              <w:rPr>
                <w:rFonts w:ascii="Tw Cen MT" w:hAnsi="Tw Cen MT"/>
                <w:noProof/>
                <w:webHidden/>
                <w:sz w:val="24"/>
                <w:szCs w:val="24"/>
              </w:rPr>
              <w:fldChar w:fldCharType="begin"/>
            </w:r>
            <w:r w:rsidR="00BF0972" w:rsidRPr="00704FC6">
              <w:rPr>
                <w:rFonts w:ascii="Tw Cen MT" w:hAnsi="Tw Cen MT"/>
                <w:noProof/>
                <w:webHidden/>
                <w:sz w:val="24"/>
                <w:szCs w:val="24"/>
              </w:rPr>
              <w:instrText xml:space="preserve"> PAGEREF _Toc451857735 \h </w:instrText>
            </w:r>
            <w:r w:rsidR="00BF0972" w:rsidRPr="00704FC6">
              <w:rPr>
                <w:rFonts w:ascii="Tw Cen MT" w:hAnsi="Tw Cen MT"/>
                <w:noProof/>
                <w:webHidden/>
                <w:sz w:val="24"/>
                <w:szCs w:val="24"/>
              </w:rPr>
            </w:r>
            <w:r w:rsidR="00BF0972" w:rsidRPr="00704FC6">
              <w:rPr>
                <w:rFonts w:ascii="Tw Cen MT" w:hAnsi="Tw Cen MT"/>
                <w:noProof/>
                <w:webHidden/>
                <w:sz w:val="24"/>
                <w:szCs w:val="24"/>
              </w:rPr>
              <w:fldChar w:fldCharType="separate"/>
            </w:r>
            <w:r w:rsidR="00260A7E">
              <w:rPr>
                <w:rFonts w:ascii="Tw Cen MT" w:hAnsi="Tw Cen MT"/>
                <w:noProof/>
                <w:webHidden/>
                <w:sz w:val="24"/>
                <w:szCs w:val="24"/>
              </w:rPr>
              <w:t>2</w:t>
            </w:r>
            <w:r w:rsidR="00BF0972" w:rsidRPr="00704FC6">
              <w:rPr>
                <w:rFonts w:ascii="Tw Cen MT" w:hAnsi="Tw Cen MT"/>
                <w:noProof/>
                <w:webHidden/>
                <w:sz w:val="24"/>
                <w:szCs w:val="24"/>
              </w:rPr>
              <w:fldChar w:fldCharType="end"/>
            </w:r>
          </w:hyperlink>
        </w:p>
        <w:p w14:paraId="4D0AEA81" w14:textId="20C25EFB" w:rsidR="00BF0972" w:rsidRPr="00704FC6" w:rsidRDefault="00724167" w:rsidP="00BF0972">
          <w:pPr>
            <w:pStyle w:val="TOC2"/>
            <w:tabs>
              <w:tab w:val="right" w:leader="dot" w:pos="9350"/>
            </w:tabs>
            <w:ind w:left="0"/>
            <w:rPr>
              <w:rFonts w:ascii="Tw Cen MT" w:hAnsi="Tw Cen MT"/>
              <w:noProof/>
              <w:sz w:val="24"/>
              <w:szCs w:val="24"/>
            </w:rPr>
          </w:pPr>
          <w:hyperlink w:anchor="_Toc451857737" w:history="1">
            <w:r w:rsidR="00BF0972" w:rsidRPr="00704FC6">
              <w:rPr>
                <w:rStyle w:val="Hyperlink"/>
                <w:rFonts w:ascii="Tw Cen MT" w:hAnsi="Tw Cen MT"/>
                <w:noProof/>
                <w:sz w:val="24"/>
                <w:szCs w:val="24"/>
              </w:rPr>
              <w:t>Understanding the Campus Climate</w:t>
            </w:r>
            <w:r w:rsidR="00BF0972" w:rsidRPr="00704FC6">
              <w:rPr>
                <w:rFonts w:ascii="Tw Cen MT" w:hAnsi="Tw Cen MT"/>
                <w:noProof/>
                <w:webHidden/>
                <w:sz w:val="24"/>
                <w:szCs w:val="24"/>
              </w:rPr>
              <w:tab/>
            </w:r>
            <w:r w:rsidR="00BF0972" w:rsidRPr="00704FC6">
              <w:rPr>
                <w:rFonts w:ascii="Tw Cen MT" w:hAnsi="Tw Cen MT"/>
                <w:noProof/>
                <w:webHidden/>
                <w:sz w:val="24"/>
                <w:szCs w:val="24"/>
              </w:rPr>
              <w:fldChar w:fldCharType="begin"/>
            </w:r>
            <w:r w:rsidR="00BF0972" w:rsidRPr="00704FC6">
              <w:rPr>
                <w:rFonts w:ascii="Tw Cen MT" w:hAnsi="Tw Cen MT"/>
                <w:noProof/>
                <w:webHidden/>
                <w:sz w:val="24"/>
                <w:szCs w:val="24"/>
              </w:rPr>
              <w:instrText xml:space="preserve"> PAGEREF _Toc451857737 \h </w:instrText>
            </w:r>
            <w:r w:rsidR="00BF0972" w:rsidRPr="00704FC6">
              <w:rPr>
                <w:rFonts w:ascii="Tw Cen MT" w:hAnsi="Tw Cen MT"/>
                <w:noProof/>
                <w:webHidden/>
                <w:sz w:val="24"/>
                <w:szCs w:val="24"/>
              </w:rPr>
            </w:r>
            <w:r w:rsidR="00BF0972" w:rsidRPr="00704FC6">
              <w:rPr>
                <w:rFonts w:ascii="Tw Cen MT" w:hAnsi="Tw Cen MT"/>
                <w:noProof/>
                <w:webHidden/>
                <w:sz w:val="24"/>
                <w:szCs w:val="24"/>
              </w:rPr>
              <w:fldChar w:fldCharType="separate"/>
            </w:r>
            <w:r w:rsidR="00260A7E">
              <w:rPr>
                <w:rFonts w:ascii="Tw Cen MT" w:hAnsi="Tw Cen MT"/>
                <w:noProof/>
                <w:webHidden/>
                <w:sz w:val="24"/>
                <w:szCs w:val="24"/>
              </w:rPr>
              <w:t>3</w:t>
            </w:r>
            <w:r w:rsidR="00BF0972" w:rsidRPr="00704FC6">
              <w:rPr>
                <w:rFonts w:ascii="Tw Cen MT" w:hAnsi="Tw Cen MT"/>
                <w:noProof/>
                <w:webHidden/>
                <w:sz w:val="24"/>
                <w:szCs w:val="24"/>
              </w:rPr>
              <w:fldChar w:fldCharType="end"/>
            </w:r>
          </w:hyperlink>
        </w:p>
        <w:p w14:paraId="36D33799" w14:textId="6D8F8CD8" w:rsidR="00BF0972" w:rsidRPr="00704FC6" w:rsidRDefault="00724167" w:rsidP="00BF0972">
          <w:pPr>
            <w:pStyle w:val="TOC2"/>
            <w:tabs>
              <w:tab w:val="right" w:leader="dot" w:pos="9350"/>
            </w:tabs>
            <w:ind w:left="0"/>
            <w:rPr>
              <w:rFonts w:ascii="Tw Cen MT" w:hAnsi="Tw Cen MT"/>
              <w:noProof/>
              <w:sz w:val="24"/>
              <w:szCs w:val="24"/>
            </w:rPr>
          </w:pPr>
          <w:hyperlink w:anchor="_Toc451857738" w:history="1">
            <w:r w:rsidR="00BF0972" w:rsidRPr="00704FC6">
              <w:rPr>
                <w:rStyle w:val="Hyperlink"/>
                <w:rFonts w:ascii="Tw Cen MT" w:hAnsi="Tw Cen MT"/>
                <w:noProof/>
                <w:sz w:val="24"/>
                <w:szCs w:val="24"/>
              </w:rPr>
              <w:t>The Application Process</w:t>
            </w:r>
            <w:r w:rsidR="00BF0972" w:rsidRPr="00704FC6">
              <w:rPr>
                <w:rFonts w:ascii="Tw Cen MT" w:hAnsi="Tw Cen MT"/>
                <w:noProof/>
                <w:webHidden/>
                <w:sz w:val="24"/>
                <w:szCs w:val="24"/>
              </w:rPr>
              <w:tab/>
            </w:r>
            <w:r w:rsidR="00BF0972" w:rsidRPr="00704FC6">
              <w:rPr>
                <w:rFonts w:ascii="Tw Cen MT" w:hAnsi="Tw Cen MT"/>
                <w:noProof/>
                <w:webHidden/>
                <w:sz w:val="24"/>
                <w:szCs w:val="24"/>
              </w:rPr>
              <w:fldChar w:fldCharType="begin"/>
            </w:r>
            <w:r w:rsidR="00BF0972" w:rsidRPr="00704FC6">
              <w:rPr>
                <w:rFonts w:ascii="Tw Cen MT" w:hAnsi="Tw Cen MT"/>
                <w:noProof/>
                <w:webHidden/>
                <w:sz w:val="24"/>
                <w:szCs w:val="24"/>
              </w:rPr>
              <w:instrText xml:space="preserve"> PAGEREF _Toc451857738 \h </w:instrText>
            </w:r>
            <w:r w:rsidR="00BF0972" w:rsidRPr="00704FC6">
              <w:rPr>
                <w:rFonts w:ascii="Tw Cen MT" w:hAnsi="Tw Cen MT"/>
                <w:noProof/>
                <w:webHidden/>
                <w:sz w:val="24"/>
                <w:szCs w:val="24"/>
              </w:rPr>
            </w:r>
            <w:r w:rsidR="00BF0972" w:rsidRPr="00704FC6">
              <w:rPr>
                <w:rFonts w:ascii="Tw Cen MT" w:hAnsi="Tw Cen MT"/>
                <w:noProof/>
                <w:webHidden/>
                <w:sz w:val="24"/>
                <w:szCs w:val="24"/>
              </w:rPr>
              <w:fldChar w:fldCharType="separate"/>
            </w:r>
            <w:r w:rsidR="00260A7E">
              <w:rPr>
                <w:rFonts w:ascii="Tw Cen MT" w:hAnsi="Tw Cen MT"/>
                <w:noProof/>
                <w:webHidden/>
                <w:sz w:val="24"/>
                <w:szCs w:val="24"/>
              </w:rPr>
              <w:t>4</w:t>
            </w:r>
            <w:r w:rsidR="00BF0972" w:rsidRPr="00704FC6">
              <w:rPr>
                <w:rFonts w:ascii="Tw Cen MT" w:hAnsi="Tw Cen MT"/>
                <w:noProof/>
                <w:webHidden/>
                <w:sz w:val="24"/>
                <w:szCs w:val="24"/>
              </w:rPr>
              <w:fldChar w:fldCharType="end"/>
            </w:r>
          </w:hyperlink>
        </w:p>
        <w:p w14:paraId="6008AF2A" w14:textId="4D008E06" w:rsidR="00BF0972" w:rsidRPr="00704FC6" w:rsidRDefault="00724167" w:rsidP="00BF0972">
          <w:pPr>
            <w:pStyle w:val="TOC3"/>
            <w:tabs>
              <w:tab w:val="right" w:leader="dot" w:pos="9350"/>
            </w:tabs>
            <w:ind w:left="0"/>
            <w:rPr>
              <w:rFonts w:ascii="Tw Cen MT" w:hAnsi="Tw Cen MT"/>
              <w:noProof/>
              <w:sz w:val="24"/>
              <w:szCs w:val="24"/>
            </w:rPr>
          </w:pPr>
          <w:hyperlink w:anchor="_Toc451857744" w:history="1">
            <w:r w:rsidR="00BF0972" w:rsidRPr="00704FC6">
              <w:rPr>
                <w:rStyle w:val="Hyperlink"/>
                <w:rFonts w:ascii="Tw Cen MT" w:eastAsia="Times New Roman" w:hAnsi="Tw Cen MT"/>
                <w:noProof/>
                <w:sz w:val="24"/>
                <w:szCs w:val="24"/>
              </w:rPr>
              <w:t>Completing the FAFSA</w:t>
            </w:r>
            <w:r w:rsidR="00BF0972" w:rsidRPr="00704FC6">
              <w:rPr>
                <w:rFonts w:ascii="Tw Cen MT" w:hAnsi="Tw Cen MT"/>
                <w:noProof/>
                <w:webHidden/>
                <w:sz w:val="24"/>
                <w:szCs w:val="24"/>
              </w:rPr>
              <w:tab/>
            </w:r>
            <w:r w:rsidR="00BF0972" w:rsidRPr="00704FC6">
              <w:rPr>
                <w:rFonts w:ascii="Tw Cen MT" w:hAnsi="Tw Cen MT"/>
                <w:noProof/>
                <w:webHidden/>
                <w:sz w:val="24"/>
                <w:szCs w:val="24"/>
              </w:rPr>
              <w:fldChar w:fldCharType="begin"/>
            </w:r>
            <w:r w:rsidR="00BF0972" w:rsidRPr="00704FC6">
              <w:rPr>
                <w:rFonts w:ascii="Tw Cen MT" w:hAnsi="Tw Cen MT"/>
                <w:noProof/>
                <w:webHidden/>
                <w:sz w:val="24"/>
                <w:szCs w:val="24"/>
              </w:rPr>
              <w:instrText xml:space="preserve"> PAGEREF _Toc451857744 \h </w:instrText>
            </w:r>
            <w:r w:rsidR="00BF0972" w:rsidRPr="00704FC6">
              <w:rPr>
                <w:rFonts w:ascii="Tw Cen MT" w:hAnsi="Tw Cen MT"/>
                <w:noProof/>
                <w:webHidden/>
                <w:sz w:val="24"/>
                <w:szCs w:val="24"/>
              </w:rPr>
            </w:r>
            <w:r w:rsidR="00BF0972" w:rsidRPr="00704FC6">
              <w:rPr>
                <w:rFonts w:ascii="Tw Cen MT" w:hAnsi="Tw Cen MT"/>
                <w:noProof/>
                <w:webHidden/>
                <w:sz w:val="24"/>
                <w:szCs w:val="24"/>
              </w:rPr>
              <w:fldChar w:fldCharType="separate"/>
            </w:r>
            <w:r w:rsidR="00260A7E">
              <w:rPr>
                <w:rFonts w:ascii="Tw Cen MT" w:hAnsi="Tw Cen MT"/>
                <w:noProof/>
                <w:webHidden/>
                <w:sz w:val="24"/>
                <w:szCs w:val="24"/>
              </w:rPr>
              <w:t>5</w:t>
            </w:r>
            <w:r w:rsidR="00BF0972" w:rsidRPr="00704FC6">
              <w:rPr>
                <w:rFonts w:ascii="Tw Cen MT" w:hAnsi="Tw Cen MT"/>
                <w:noProof/>
                <w:webHidden/>
                <w:sz w:val="24"/>
                <w:szCs w:val="24"/>
              </w:rPr>
              <w:fldChar w:fldCharType="end"/>
            </w:r>
          </w:hyperlink>
        </w:p>
        <w:p w14:paraId="4834BC25" w14:textId="38CF3093" w:rsidR="00BF0972" w:rsidRPr="00704FC6" w:rsidRDefault="00724167" w:rsidP="00BF0972">
          <w:pPr>
            <w:pStyle w:val="TOC3"/>
            <w:tabs>
              <w:tab w:val="right" w:leader="dot" w:pos="9350"/>
            </w:tabs>
            <w:ind w:left="0"/>
            <w:rPr>
              <w:rFonts w:ascii="Tw Cen MT" w:hAnsi="Tw Cen MT"/>
              <w:noProof/>
              <w:sz w:val="24"/>
              <w:szCs w:val="24"/>
            </w:rPr>
          </w:pPr>
          <w:hyperlink w:anchor="_Toc451857745" w:history="1">
            <w:r w:rsidR="00BF0972" w:rsidRPr="00704FC6">
              <w:rPr>
                <w:rStyle w:val="Hyperlink"/>
                <w:rFonts w:ascii="Tw Cen MT" w:eastAsia="Times New Roman" w:hAnsi="Tw Cen MT"/>
                <w:noProof/>
                <w:sz w:val="24"/>
                <w:szCs w:val="24"/>
              </w:rPr>
              <w:t>Frequently Asked Questions</w:t>
            </w:r>
            <w:r w:rsidR="00BF0972" w:rsidRPr="00704FC6">
              <w:rPr>
                <w:rFonts w:ascii="Tw Cen MT" w:hAnsi="Tw Cen MT"/>
                <w:noProof/>
                <w:webHidden/>
                <w:sz w:val="24"/>
                <w:szCs w:val="24"/>
              </w:rPr>
              <w:tab/>
            </w:r>
            <w:r w:rsidR="00BF0972" w:rsidRPr="00704FC6">
              <w:rPr>
                <w:rFonts w:ascii="Tw Cen MT" w:hAnsi="Tw Cen MT"/>
                <w:noProof/>
                <w:webHidden/>
                <w:sz w:val="24"/>
                <w:szCs w:val="24"/>
              </w:rPr>
              <w:fldChar w:fldCharType="begin"/>
            </w:r>
            <w:r w:rsidR="00BF0972" w:rsidRPr="00704FC6">
              <w:rPr>
                <w:rFonts w:ascii="Tw Cen MT" w:hAnsi="Tw Cen MT"/>
                <w:noProof/>
                <w:webHidden/>
                <w:sz w:val="24"/>
                <w:szCs w:val="24"/>
              </w:rPr>
              <w:instrText xml:space="preserve"> PAGEREF _Toc451857745 \h </w:instrText>
            </w:r>
            <w:r w:rsidR="00BF0972" w:rsidRPr="00704FC6">
              <w:rPr>
                <w:rFonts w:ascii="Tw Cen MT" w:hAnsi="Tw Cen MT"/>
                <w:noProof/>
                <w:webHidden/>
                <w:sz w:val="24"/>
                <w:szCs w:val="24"/>
              </w:rPr>
            </w:r>
            <w:r w:rsidR="00BF0972" w:rsidRPr="00704FC6">
              <w:rPr>
                <w:rFonts w:ascii="Tw Cen MT" w:hAnsi="Tw Cen MT"/>
                <w:noProof/>
                <w:webHidden/>
                <w:sz w:val="24"/>
                <w:szCs w:val="24"/>
              </w:rPr>
              <w:fldChar w:fldCharType="separate"/>
            </w:r>
            <w:r w:rsidR="00260A7E">
              <w:rPr>
                <w:rFonts w:ascii="Tw Cen MT" w:hAnsi="Tw Cen MT"/>
                <w:noProof/>
                <w:webHidden/>
                <w:sz w:val="24"/>
                <w:szCs w:val="24"/>
              </w:rPr>
              <w:t>6</w:t>
            </w:r>
            <w:r w:rsidR="00BF0972" w:rsidRPr="00704FC6">
              <w:rPr>
                <w:rFonts w:ascii="Tw Cen MT" w:hAnsi="Tw Cen MT"/>
                <w:noProof/>
                <w:webHidden/>
                <w:sz w:val="24"/>
                <w:szCs w:val="24"/>
              </w:rPr>
              <w:fldChar w:fldCharType="end"/>
            </w:r>
          </w:hyperlink>
        </w:p>
        <w:p w14:paraId="2A22A1C6" w14:textId="4D089B7C" w:rsidR="00BF0972" w:rsidRPr="00704FC6" w:rsidRDefault="00724167" w:rsidP="00BF0972">
          <w:pPr>
            <w:pStyle w:val="TOC3"/>
            <w:tabs>
              <w:tab w:val="right" w:leader="dot" w:pos="9350"/>
            </w:tabs>
            <w:ind w:left="0"/>
            <w:rPr>
              <w:rFonts w:ascii="Tw Cen MT" w:hAnsi="Tw Cen MT"/>
              <w:noProof/>
              <w:sz w:val="24"/>
              <w:szCs w:val="24"/>
            </w:rPr>
          </w:pPr>
          <w:hyperlink w:anchor="_Toc451857754" w:history="1">
            <w:r w:rsidR="00BF0972" w:rsidRPr="00704FC6">
              <w:rPr>
                <w:rStyle w:val="Hyperlink"/>
                <w:rFonts w:ascii="Tw Cen MT" w:hAnsi="Tw Cen MT"/>
                <w:noProof/>
                <w:sz w:val="24"/>
                <w:szCs w:val="24"/>
              </w:rPr>
              <w:t>Glossary</w:t>
            </w:r>
            <w:r w:rsidR="00BF0972" w:rsidRPr="00704FC6">
              <w:rPr>
                <w:rFonts w:ascii="Tw Cen MT" w:hAnsi="Tw Cen MT"/>
                <w:noProof/>
                <w:webHidden/>
                <w:sz w:val="24"/>
                <w:szCs w:val="24"/>
              </w:rPr>
              <w:tab/>
            </w:r>
            <w:r w:rsidR="00BF0972" w:rsidRPr="00704FC6">
              <w:rPr>
                <w:rFonts w:ascii="Tw Cen MT" w:hAnsi="Tw Cen MT"/>
                <w:noProof/>
                <w:webHidden/>
                <w:sz w:val="24"/>
                <w:szCs w:val="24"/>
              </w:rPr>
              <w:fldChar w:fldCharType="begin"/>
            </w:r>
            <w:r w:rsidR="00BF0972" w:rsidRPr="00704FC6">
              <w:rPr>
                <w:rFonts w:ascii="Tw Cen MT" w:hAnsi="Tw Cen MT"/>
                <w:noProof/>
                <w:webHidden/>
                <w:sz w:val="24"/>
                <w:szCs w:val="24"/>
              </w:rPr>
              <w:instrText xml:space="preserve"> PAGEREF _Toc451857754 \h </w:instrText>
            </w:r>
            <w:r w:rsidR="00BF0972" w:rsidRPr="00704FC6">
              <w:rPr>
                <w:rFonts w:ascii="Tw Cen MT" w:hAnsi="Tw Cen MT"/>
                <w:noProof/>
                <w:webHidden/>
                <w:sz w:val="24"/>
                <w:szCs w:val="24"/>
              </w:rPr>
            </w:r>
            <w:r w:rsidR="00BF0972" w:rsidRPr="00704FC6">
              <w:rPr>
                <w:rFonts w:ascii="Tw Cen MT" w:hAnsi="Tw Cen MT"/>
                <w:noProof/>
                <w:webHidden/>
                <w:sz w:val="24"/>
                <w:szCs w:val="24"/>
              </w:rPr>
              <w:fldChar w:fldCharType="separate"/>
            </w:r>
            <w:r w:rsidR="00260A7E">
              <w:rPr>
                <w:rFonts w:ascii="Tw Cen MT" w:hAnsi="Tw Cen MT"/>
                <w:noProof/>
                <w:webHidden/>
                <w:sz w:val="24"/>
                <w:szCs w:val="24"/>
              </w:rPr>
              <w:t>10</w:t>
            </w:r>
            <w:r w:rsidR="00BF0972" w:rsidRPr="00704FC6">
              <w:rPr>
                <w:rFonts w:ascii="Tw Cen MT" w:hAnsi="Tw Cen MT"/>
                <w:noProof/>
                <w:webHidden/>
                <w:sz w:val="24"/>
                <w:szCs w:val="24"/>
              </w:rPr>
              <w:fldChar w:fldCharType="end"/>
            </w:r>
          </w:hyperlink>
        </w:p>
        <w:p w14:paraId="0DA4E39A" w14:textId="5E60D82F" w:rsidR="00BF0972" w:rsidRPr="00704FC6" w:rsidRDefault="00724167" w:rsidP="00BF0972">
          <w:pPr>
            <w:pStyle w:val="TOC3"/>
            <w:tabs>
              <w:tab w:val="right" w:leader="dot" w:pos="9350"/>
            </w:tabs>
            <w:ind w:left="0"/>
            <w:rPr>
              <w:rFonts w:ascii="Tw Cen MT" w:hAnsi="Tw Cen MT"/>
              <w:noProof/>
              <w:sz w:val="24"/>
              <w:szCs w:val="24"/>
            </w:rPr>
          </w:pPr>
          <w:hyperlink w:anchor="_Toc451857755" w:history="1">
            <w:r w:rsidR="00BF0972" w:rsidRPr="00704FC6">
              <w:rPr>
                <w:rStyle w:val="Hyperlink"/>
                <w:rFonts w:ascii="Tw Cen MT" w:hAnsi="Tw Cen MT"/>
                <w:noProof/>
                <w:sz w:val="24"/>
                <w:szCs w:val="24"/>
              </w:rPr>
              <w:t>Sources</w:t>
            </w:r>
            <w:r w:rsidR="00BF0972" w:rsidRPr="00704FC6">
              <w:rPr>
                <w:rFonts w:ascii="Tw Cen MT" w:hAnsi="Tw Cen MT"/>
                <w:noProof/>
                <w:webHidden/>
                <w:sz w:val="24"/>
                <w:szCs w:val="24"/>
              </w:rPr>
              <w:tab/>
            </w:r>
            <w:r w:rsidR="00BF0972" w:rsidRPr="00704FC6">
              <w:rPr>
                <w:rFonts w:ascii="Tw Cen MT" w:hAnsi="Tw Cen MT"/>
                <w:noProof/>
                <w:webHidden/>
                <w:sz w:val="24"/>
                <w:szCs w:val="24"/>
              </w:rPr>
              <w:fldChar w:fldCharType="begin"/>
            </w:r>
            <w:r w:rsidR="00BF0972" w:rsidRPr="00704FC6">
              <w:rPr>
                <w:rFonts w:ascii="Tw Cen MT" w:hAnsi="Tw Cen MT"/>
                <w:noProof/>
                <w:webHidden/>
                <w:sz w:val="24"/>
                <w:szCs w:val="24"/>
              </w:rPr>
              <w:instrText xml:space="preserve"> PAGEREF _Toc451857755 \h </w:instrText>
            </w:r>
            <w:r w:rsidR="00BF0972" w:rsidRPr="00704FC6">
              <w:rPr>
                <w:rFonts w:ascii="Tw Cen MT" w:hAnsi="Tw Cen MT"/>
                <w:noProof/>
                <w:webHidden/>
                <w:sz w:val="24"/>
                <w:szCs w:val="24"/>
              </w:rPr>
            </w:r>
            <w:r w:rsidR="00BF0972" w:rsidRPr="00704FC6">
              <w:rPr>
                <w:rFonts w:ascii="Tw Cen MT" w:hAnsi="Tw Cen MT"/>
                <w:noProof/>
                <w:webHidden/>
                <w:sz w:val="24"/>
                <w:szCs w:val="24"/>
              </w:rPr>
              <w:fldChar w:fldCharType="separate"/>
            </w:r>
            <w:r w:rsidR="00260A7E">
              <w:rPr>
                <w:rFonts w:ascii="Tw Cen MT" w:hAnsi="Tw Cen MT"/>
                <w:noProof/>
                <w:webHidden/>
                <w:sz w:val="24"/>
                <w:szCs w:val="24"/>
              </w:rPr>
              <w:t>11</w:t>
            </w:r>
            <w:r w:rsidR="00BF0972" w:rsidRPr="00704FC6">
              <w:rPr>
                <w:rFonts w:ascii="Tw Cen MT" w:hAnsi="Tw Cen MT"/>
                <w:noProof/>
                <w:webHidden/>
                <w:sz w:val="24"/>
                <w:szCs w:val="24"/>
              </w:rPr>
              <w:fldChar w:fldCharType="end"/>
            </w:r>
          </w:hyperlink>
        </w:p>
        <w:p w14:paraId="09BC470B" w14:textId="47976FF2" w:rsidR="008E63FF" w:rsidRPr="00704FC6" w:rsidRDefault="008E63FF">
          <w:pPr>
            <w:rPr>
              <w:rFonts w:ascii="Tw Cen MT" w:hAnsi="Tw Cen MT"/>
              <w:sz w:val="24"/>
              <w:szCs w:val="24"/>
            </w:rPr>
          </w:pPr>
          <w:r w:rsidRPr="00704FC6">
            <w:rPr>
              <w:rFonts w:ascii="Tw Cen MT" w:hAnsi="Tw Cen MT"/>
              <w:b/>
              <w:bCs/>
              <w:noProof/>
              <w:sz w:val="24"/>
              <w:szCs w:val="24"/>
            </w:rPr>
            <w:fldChar w:fldCharType="end"/>
          </w:r>
        </w:p>
      </w:sdtContent>
    </w:sdt>
    <w:p w14:paraId="146068BB" w14:textId="77777777" w:rsidR="00B32EF7" w:rsidRDefault="00B32EF7" w:rsidP="00B32EF7">
      <w:pPr>
        <w:rPr>
          <w:sz w:val="18"/>
        </w:rPr>
      </w:pPr>
    </w:p>
    <w:p w14:paraId="72E3E1DF" w14:textId="77777777" w:rsidR="00B32EF7" w:rsidRDefault="00B32EF7" w:rsidP="00B32EF7">
      <w:pPr>
        <w:rPr>
          <w:sz w:val="18"/>
        </w:rPr>
      </w:pPr>
    </w:p>
    <w:p w14:paraId="537F5A4E" w14:textId="77777777" w:rsidR="00B32EF7" w:rsidRDefault="00B32EF7" w:rsidP="00B32EF7">
      <w:pPr>
        <w:rPr>
          <w:sz w:val="18"/>
        </w:rPr>
      </w:pPr>
    </w:p>
    <w:p w14:paraId="4585EA5A" w14:textId="77777777" w:rsidR="00B32EF7" w:rsidRDefault="00B32EF7" w:rsidP="00B32EF7">
      <w:pPr>
        <w:rPr>
          <w:sz w:val="18"/>
        </w:rPr>
      </w:pPr>
    </w:p>
    <w:p w14:paraId="1D9514DC" w14:textId="31B5E835" w:rsidR="00B32EF7" w:rsidRDefault="00B32EF7" w:rsidP="00B32EF7">
      <w:pPr>
        <w:rPr>
          <w:sz w:val="18"/>
        </w:rPr>
      </w:pPr>
    </w:p>
    <w:p w14:paraId="2A99FDD1" w14:textId="6FE6BA63" w:rsidR="00B32EF7" w:rsidRDefault="00B32EF7" w:rsidP="00B32EF7">
      <w:pPr>
        <w:rPr>
          <w:sz w:val="18"/>
        </w:rPr>
      </w:pPr>
    </w:p>
    <w:p w14:paraId="01896938" w14:textId="42114805" w:rsidR="00B32EF7" w:rsidRDefault="00B32EF7" w:rsidP="00B32EF7">
      <w:pPr>
        <w:rPr>
          <w:sz w:val="18"/>
        </w:rPr>
      </w:pPr>
    </w:p>
    <w:p w14:paraId="2C04B19F" w14:textId="77777777" w:rsidR="00B32EF7" w:rsidRDefault="00B32EF7" w:rsidP="00B32EF7">
      <w:pPr>
        <w:rPr>
          <w:sz w:val="18"/>
        </w:rPr>
      </w:pPr>
    </w:p>
    <w:p w14:paraId="16FE1809" w14:textId="00952338" w:rsidR="001319FE" w:rsidRPr="00B32EF7" w:rsidRDefault="00BF0972" w:rsidP="00B32EF7">
      <w:r w:rsidRPr="00704FC6">
        <w:rPr>
          <w:rFonts w:ascii="Tw Cen MT" w:hAnsi="Tw Cen MT"/>
          <w:noProof/>
        </w:rPr>
        <mc:AlternateContent>
          <mc:Choice Requires="wps">
            <w:drawing>
              <wp:anchor distT="0" distB="0" distL="114300" distR="114300" simplePos="0" relativeHeight="251680768" behindDoc="0" locked="0" layoutInCell="1" allowOverlap="1" wp14:anchorId="1B2D5744" wp14:editId="700312D6">
                <wp:simplePos x="0" y="0"/>
                <wp:positionH relativeFrom="margin">
                  <wp:posOffset>-90170</wp:posOffset>
                </wp:positionH>
                <wp:positionV relativeFrom="margin">
                  <wp:posOffset>5017770</wp:posOffset>
                </wp:positionV>
                <wp:extent cx="6142355" cy="982980"/>
                <wp:effectExtent l="0" t="0" r="10795" b="266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355" cy="982980"/>
                        </a:xfrm>
                        <a:prstGeom prst="rect">
                          <a:avLst/>
                        </a:prstGeom>
                        <a:ln>
                          <a:solidFill>
                            <a:schemeClr val="bg1">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01EDDF6C" w14:textId="77777777" w:rsidR="009C01EA" w:rsidRPr="000677A0" w:rsidRDefault="009C01EA" w:rsidP="000677A0">
                            <w:pPr>
                              <w:pStyle w:val="Heading2"/>
                            </w:pPr>
                            <w:bookmarkStart w:id="3" w:name="_Toc451516197"/>
                            <w:bookmarkStart w:id="4" w:name="_Toc451857517"/>
                            <w:bookmarkStart w:id="5" w:name="_Toc451857731"/>
                            <w:r w:rsidRPr="000677A0">
                              <w:t>RESOURCE: Glossary</w:t>
                            </w:r>
                            <w:bookmarkEnd w:id="3"/>
                            <w:bookmarkEnd w:id="4"/>
                            <w:bookmarkEnd w:id="5"/>
                          </w:p>
                          <w:p w14:paraId="1DA0F1C7" w14:textId="36D0010B" w:rsidR="009C01EA" w:rsidRPr="00704FC6" w:rsidRDefault="009C01EA" w:rsidP="000677A0">
                            <w:pPr>
                              <w:pBdr>
                                <w:top w:val="single" w:sz="24" w:space="10" w:color="92278F" w:themeColor="accent1"/>
                                <w:bottom w:val="single" w:sz="24" w:space="8" w:color="92278F" w:themeColor="accent1"/>
                              </w:pBdr>
                              <w:spacing w:after="0"/>
                              <w:rPr>
                                <w:rFonts w:ascii="Tw Cen MT" w:hAnsi="Tw Cen MT"/>
                                <w:iCs/>
                                <w:sz w:val="24"/>
                                <w:szCs w:val="24"/>
                              </w:rPr>
                            </w:pPr>
                            <w:r w:rsidRPr="00704FC6">
                              <w:rPr>
                                <w:rFonts w:ascii="Tw Cen MT" w:hAnsi="Tw Cen MT"/>
                                <w:iCs/>
                                <w:sz w:val="24"/>
                                <w:szCs w:val="24"/>
                              </w:rPr>
                              <w:t xml:space="preserve">Find some common terminology in the </w:t>
                            </w:r>
                            <w:r w:rsidRPr="00704FC6">
                              <w:rPr>
                                <w:rFonts w:ascii="Tw Cen MT" w:hAnsi="Tw Cen MT"/>
                                <w:i/>
                                <w:iCs/>
                                <w:sz w:val="24"/>
                                <w:szCs w:val="24"/>
                              </w:rPr>
                              <w:t>Glossary</w:t>
                            </w:r>
                            <w:r w:rsidRPr="00704FC6">
                              <w:rPr>
                                <w:rFonts w:ascii="Tw Cen MT" w:hAnsi="Tw Cen MT"/>
                                <w:iCs/>
                                <w:sz w:val="24"/>
                                <w:szCs w:val="24"/>
                              </w:rPr>
                              <w:t xml:space="preserve"> section</w:t>
                            </w:r>
                            <w:r w:rsidR="008B48F6" w:rsidRPr="00704FC6">
                              <w:rPr>
                                <w:rFonts w:ascii="Tw Cen MT" w:hAnsi="Tw Cen MT"/>
                                <w:iCs/>
                                <w:sz w:val="24"/>
                                <w:szCs w:val="24"/>
                              </w:rPr>
                              <w:t xml:space="preserve"> on page </w:t>
                            </w:r>
                            <w:r w:rsidR="00102EE5" w:rsidRPr="00704FC6">
                              <w:rPr>
                                <w:rFonts w:ascii="Tw Cen MT" w:hAnsi="Tw Cen MT"/>
                                <w:iCs/>
                                <w:sz w:val="24"/>
                                <w:szCs w:val="24"/>
                              </w:rPr>
                              <w:t xml:space="preserve">nine </w:t>
                            </w:r>
                            <w:r w:rsidRPr="00704FC6">
                              <w:rPr>
                                <w:rFonts w:ascii="Tw Cen MT" w:hAnsi="Tw Cen MT"/>
                                <w:iCs/>
                                <w:sz w:val="24"/>
                                <w:szCs w:val="24"/>
                              </w:rPr>
                              <w:t>of this guide. To learn more, see</w:t>
                            </w:r>
                            <w:r w:rsidRPr="00704FC6">
                              <w:rPr>
                                <w:rFonts w:ascii="Tw Cen MT" w:hAnsi="Tw Cen MT"/>
                                <w:i/>
                                <w:sz w:val="24"/>
                                <w:szCs w:val="24"/>
                              </w:rPr>
                              <w:t xml:space="preserve"> </w:t>
                            </w:r>
                            <w:r w:rsidRPr="00704FC6">
                              <w:rPr>
                                <w:rFonts w:ascii="Tw Cen MT" w:hAnsi="Tw Cen MT"/>
                                <w:b/>
                                <w:i/>
                                <w:iCs/>
                                <w:sz w:val="24"/>
                                <w:szCs w:val="24"/>
                              </w:rPr>
                              <w:t>Teaching Tolerance:</w:t>
                            </w:r>
                            <w:r w:rsidRPr="00704FC6">
                              <w:rPr>
                                <w:rFonts w:ascii="Tw Cen MT" w:hAnsi="Tw Cen MT"/>
                                <w:i/>
                                <w:iCs/>
                                <w:sz w:val="24"/>
                                <w:szCs w:val="24"/>
                              </w:rPr>
                              <w:t xml:space="preserve"> </w:t>
                            </w:r>
                            <w:r w:rsidR="008B48F6" w:rsidRPr="00704FC6">
                              <w:rPr>
                                <w:rFonts w:ascii="Tw Cen MT" w:hAnsi="Tw Cen MT"/>
                                <w:i/>
                                <w:iCs/>
                                <w:sz w:val="24"/>
                                <w:szCs w:val="24"/>
                              </w:rPr>
                              <w:t xml:space="preserve"> </w:t>
                            </w:r>
                            <w:hyperlink r:id="rId12" w:history="1">
                              <w:r w:rsidR="00163FEC" w:rsidRPr="00163FEC">
                                <w:rPr>
                                  <w:rStyle w:val="Hyperlink"/>
                                </w:rPr>
                                <w:t>https://www.tolerance.org/classroom-resources</w:t>
                              </w:r>
                            </w:hyperlink>
                          </w:p>
                          <w:p w14:paraId="426813F8" w14:textId="77777777" w:rsidR="008B48F6" w:rsidRDefault="008B48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2D5744" id="_x0000_t202" coordsize="21600,21600" o:spt="202" path="m,l,21600r21600,l21600,xe">
                <v:stroke joinstyle="miter"/>
                <v:path gradientshapeok="t" o:connecttype="rect"/>
              </v:shapetype>
              <v:shape id="Text Box 2" o:spid="_x0000_s1026" type="#_x0000_t202" style="position:absolute;margin-left:-7.1pt;margin-top:395.1pt;width:483.65pt;height:77.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7HtawIAABQFAAAOAAAAZHJzL2Uyb0RvYy54bWysVNtu1DAQfUfiHyy/02TT3XYbNVuVliKk&#10;chEtH+B17I1VxxNs7ybbr2dsZ8MWkJAQL5YvM2fOmYsvr4ZWk52wToGp6Owkp0QYDrUym4p+e7x7&#10;s6TEeWZqpsGIiu6Fo1er168u+64UBTSga2EJghhX9l1FG++7Msscb0TL3Al0wuCjBNsyj0e7yWrL&#10;ekRvdVbk+VnWg607C1w4h7e36ZGuIr6UgvvPUjrhia4ocvNxtXFdhzVbXbJyY1nXKD7SYP/AomXK&#10;YNAJ6pZ5RrZW/QbVKm7BgfQnHNoMpFRcRA2oZpb/ouahYZ2IWjA5rpvS5P4fLP+0+2KJqit6mp9T&#10;YliLRXoUgydvYSBFyE/fuRLNHjo09ANeY52jVtfdA39yxMBNw8xGXFsLfSNYjfxmwTM7ck04LoCs&#10;+49QYxi29RCBBmnbkDxMB0F0rNN+qk2gwvHybDYvThcLSji+XSyLi2UsXsbKg3dnnX8voCVhU1GL&#10;tY/obHfvfGDDyoNJCKZNWB1oVd8preMhdJ240ZbsGPbLepN06m2LhNPd+SLPD4FjkwbziP0CKWTh&#10;naljd3mmdNojgxA1piVkYsyJ32uRGH0VEmuBaovIfAqQYjPOhfEpswEJrYObRPaT41iZl0L05DTa&#10;BjcRp2NyzP8ecfKIUcH4yblVBuyfAOqnA12Z7A/qk+bQH35YD2OXraHeY39YSGOK3wpuGrDPlPQ4&#10;ohV137fMCkr0B4M9djGbz8NMx8N8cV7gwR6/rI9fmOEIVVFPSdre+PgPBDEGrrEXpYptEkglJiNZ&#10;HL1Y4fGbCLN9fI5WPz+z1Q8AAAD//wMAUEsDBBQABgAIAAAAIQDTdbCj4QAAAAsBAAAPAAAAZHJz&#10;L2Rvd25yZXYueG1sTI/BTsMwDIbvSLxDZCRuW9qxAStNp1EJuHBhq3ZOWtNWa5zSZGvH02NOcPst&#10;f/r9Od1MthNnHHzrSEE8j0Agla5qqVZQ7F9mjyB80FTpzhEquKCHTXZ9leqkciN94HkXasEl5BOt&#10;oAmhT6T0ZYNW+7nrkXj36QarA49DLatBj1xuO7mIontpdUt8odE95g2Wx93JKnh9K4o8fz58Hd63&#10;+E3HvTHjxSh1ezNtn0AEnMIfDL/6rA4ZOxl3osqLTsEsXi4YVfCwjjgwsV7dxSAMh+UqApml8v8P&#10;2Q8AAAD//wMAUEsBAi0AFAAGAAgAAAAhALaDOJL+AAAA4QEAABMAAAAAAAAAAAAAAAAAAAAAAFtD&#10;b250ZW50X1R5cGVzXS54bWxQSwECLQAUAAYACAAAACEAOP0h/9YAAACUAQAACwAAAAAAAAAAAAAA&#10;AAAvAQAAX3JlbHMvLnJlbHNQSwECLQAUAAYACAAAACEA6AOx7WsCAAAUBQAADgAAAAAAAAAAAAAA&#10;AAAuAgAAZHJzL2Uyb0RvYy54bWxQSwECLQAUAAYACAAAACEA03Wwo+EAAAALAQAADwAAAAAAAAAA&#10;AAAAAADFBAAAZHJzL2Rvd25yZXYueG1sUEsFBgAAAAAEAAQA8wAAANMFAAAAAA==&#10;" fillcolor="white [3201]" strokecolor="#bfbfbf [2412]" strokeweight="2pt">
                <v:textbox>
                  <w:txbxContent>
                    <w:p w14:paraId="01EDDF6C" w14:textId="77777777" w:rsidR="009C01EA" w:rsidRPr="000677A0" w:rsidRDefault="009C01EA" w:rsidP="000677A0">
                      <w:pPr>
                        <w:pStyle w:val="Heading2"/>
                      </w:pPr>
                      <w:bookmarkStart w:id="5" w:name="_Toc451516197"/>
                      <w:bookmarkStart w:id="6" w:name="_Toc451857517"/>
                      <w:bookmarkStart w:id="7" w:name="_Toc451857731"/>
                      <w:r w:rsidRPr="000677A0">
                        <w:t>RESOURCE: Glossary</w:t>
                      </w:r>
                      <w:bookmarkEnd w:id="5"/>
                      <w:bookmarkEnd w:id="6"/>
                      <w:bookmarkEnd w:id="7"/>
                    </w:p>
                    <w:p w14:paraId="1DA0F1C7" w14:textId="36D0010B" w:rsidR="009C01EA" w:rsidRPr="00704FC6" w:rsidRDefault="009C01EA" w:rsidP="000677A0">
                      <w:pPr>
                        <w:pBdr>
                          <w:top w:val="single" w:sz="24" w:space="10" w:color="92278F" w:themeColor="accent1"/>
                          <w:bottom w:val="single" w:sz="24" w:space="8" w:color="92278F" w:themeColor="accent1"/>
                        </w:pBdr>
                        <w:spacing w:after="0"/>
                        <w:rPr>
                          <w:rFonts w:ascii="Tw Cen MT" w:hAnsi="Tw Cen MT"/>
                          <w:iCs/>
                          <w:sz w:val="24"/>
                          <w:szCs w:val="24"/>
                        </w:rPr>
                      </w:pPr>
                      <w:r w:rsidRPr="00704FC6">
                        <w:rPr>
                          <w:rFonts w:ascii="Tw Cen MT" w:hAnsi="Tw Cen MT"/>
                          <w:iCs/>
                          <w:sz w:val="24"/>
                          <w:szCs w:val="24"/>
                        </w:rPr>
                        <w:t xml:space="preserve">Find some common terminology in the </w:t>
                      </w:r>
                      <w:r w:rsidRPr="00704FC6">
                        <w:rPr>
                          <w:rFonts w:ascii="Tw Cen MT" w:hAnsi="Tw Cen MT"/>
                          <w:i/>
                          <w:iCs/>
                          <w:sz w:val="24"/>
                          <w:szCs w:val="24"/>
                        </w:rPr>
                        <w:t>Glossary</w:t>
                      </w:r>
                      <w:r w:rsidRPr="00704FC6">
                        <w:rPr>
                          <w:rFonts w:ascii="Tw Cen MT" w:hAnsi="Tw Cen MT"/>
                          <w:iCs/>
                          <w:sz w:val="24"/>
                          <w:szCs w:val="24"/>
                        </w:rPr>
                        <w:t xml:space="preserve"> section</w:t>
                      </w:r>
                      <w:r w:rsidR="008B48F6" w:rsidRPr="00704FC6">
                        <w:rPr>
                          <w:rFonts w:ascii="Tw Cen MT" w:hAnsi="Tw Cen MT"/>
                          <w:iCs/>
                          <w:sz w:val="24"/>
                          <w:szCs w:val="24"/>
                        </w:rPr>
                        <w:t xml:space="preserve"> on page </w:t>
                      </w:r>
                      <w:r w:rsidR="00102EE5" w:rsidRPr="00704FC6">
                        <w:rPr>
                          <w:rFonts w:ascii="Tw Cen MT" w:hAnsi="Tw Cen MT"/>
                          <w:iCs/>
                          <w:sz w:val="24"/>
                          <w:szCs w:val="24"/>
                        </w:rPr>
                        <w:t xml:space="preserve">nine </w:t>
                      </w:r>
                      <w:r w:rsidRPr="00704FC6">
                        <w:rPr>
                          <w:rFonts w:ascii="Tw Cen MT" w:hAnsi="Tw Cen MT"/>
                          <w:iCs/>
                          <w:sz w:val="24"/>
                          <w:szCs w:val="24"/>
                        </w:rPr>
                        <w:t>of this guide. To learn more, see</w:t>
                      </w:r>
                      <w:r w:rsidRPr="00704FC6">
                        <w:rPr>
                          <w:rFonts w:ascii="Tw Cen MT" w:hAnsi="Tw Cen MT"/>
                          <w:i/>
                          <w:sz w:val="24"/>
                          <w:szCs w:val="24"/>
                        </w:rPr>
                        <w:t xml:space="preserve"> </w:t>
                      </w:r>
                      <w:r w:rsidRPr="00704FC6">
                        <w:rPr>
                          <w:rFonts w:ascii="Tw Cen MT" w:hAnsi="Tw Cen MT"/>
                          <w:b/>
                          <w:i/>
                          <w:iCs/>
                          <w:sz w:val="24"/>
                          <w:szCs w:val="24"/>
                        </w:rPr>
                        <w:t>Teaching Tolerance:</w:t>
                      </w:r>
                      <w:r w:rsidRPr="00704FC6">
                        <w:rPr>
                          <w:rFonts w:ascii="Tw Cen MT" w:hAnsi="Tw Cen MT"/>
                          <w:i/>
                          <w:iCs/>
                          <w:sz w:val="24"/>
                          <w:szCs w:val="24"/>
                        </w:rPr>
                        <w:t xml:space="preserve"> </w:t>
                      </w:r>
                      <w:r w:rsidR="008B48F6" w:rsidRPr="00704FC6">
                        <w:rPr>
                          <w:rFonts w:ascii="Tw Cen MT" w:hAnsi="Tw Cen MT"/>
                          <w:i/>
                          <w:iCs/>
                          <w:sz w:val="24"/>
                          <w:szCs w:val="24"/>
                        </w:rPr>
                        <w:t xml:space="preserve"> </w:t>
                      </w:r>
                      <w:hyperlink r:id="rId13" w:history="1">
                        <w:r w:rsidR="00163FEC" w:rsidRPr="00163FEC">
                          <w:rPr>
                            <w:rStyle w:val="Hyperlink"/>
                          </w:rPr>
                          <w:t>https://www.tolerance.org/classroom-resources</w:t>
                        </w:r>
                      </w:hyperlink>
                    </w:p>
                    <w:p w14:paraId="426813F8" w14:textId="77777777" w:rsidR="008B48F6" w:rsidRDefault="008B48F6"/>
                  </w:txbxContent>
                </v:textbox>
                <w10:wrap type="square" anchorx="margin" anchory="margin"/>
              </v:shape>
            </w:pict>
          </mc:Fallback>
        </mc:AlternateContent>
      </w:r>
      <w:r w:rsidR="00B32EF7" w:rsidRPr="00A450F7">
        <w:t>The contents of this publication were developed under a grant from the U.S. Department of Education. However, the content does not necessarily represent the policy of the Department of Education, and you should not assume endorsement by the Federal Government.</w:t>
      </w:r>
    </w:p>
    <w:p w14:paraId="2CECDD19" w14:textId="51B9FC95" w:rsidR="0001065E" w:rsidRPr="00704FC6" w:rsidRDefault="00AD6C52" w:rsidP="00704FC6">
      <w:pPr>
        <w:pStyle w:val="Heading1"/>
        <w:sectPr w:rsidR="0001065E" w:rsidRPr="00704FC6" w:rsidSect="00680B19">
          <w:headerReference w:type="default" r:id="rId14"/>
          <w:footerReference w:type="default" r:id="rId15"/>
          <w:footerReference w:type="first" r:id="rId16"/>
          <w:pgSz w:w="12240" w:h="15840" w:code="1"/>
          <w:pgMar w:top="1440" w:right="1440" w:bottom="1440" w:left="1440" w:header="360" w:footer="720" w:gutter="0"/>
          <w:pgNumType w:start="0"/>
          <w:cols w:space="720"/>
          <w:titlePg/>
          <w:docGrid w:linePitch="360"/>
        </w:sectPr>
      </w:pPr>
      <w:bookmarkStart w:id="6" w:name="_Toc451857732"/>
      <w:r w:rsidRPr="00704FC6">
        <w:lastRenderedPageBreak/>
        <w:t xml:space="preserve">Applying to College as an </w:t>
      </w:r>
      <w:r w:rsidR="00741DE9" w:rsidRPr="00704FC6">
        <w:t>LGBTQ</w:t>
      </w:r>
      <w:r w:rsidR="00163FEC">
        <w:t>+</w:t>
      </w:r>
      <w:r w:rsidRPr="00704FC6">
        <w:t xml:space="preserve"> Student</w:t>
      </w:r>
      <w:bookmarkEnd w:id="6"/>
    </w:p>
    <w:p w14:paraId="15EADB08" w14:textId="4AEB4FEA" w:rsidR="006F0D2B" w:rsidRPr="0021572A" w:rsidRDefault="006F0D2B" w:rsidP="00471AB8">
      <w:pPr>
        <w:rPr>
          <w:rFonts w:ascii="Tw Cen MT" w:hAnsi="Tw Cen MT"/>
          <w:sz w:val="24"/>
        </w:rPr>
      </w:pPr>
      <w:r w:rsidRPr="0021572A">
        <w:rPr>
          <w:rFonts w:ascii="Tw Cen MT" w:hAnsi="Tw Cen MT"/>
          <w:sz w:val="24"/>
        </w:rPr>
        <w:t xml:space="preserve">The college application process is complicated for all students, regardless of their sexual orientation or gender identity. For </w:t>
      </w:r>
      <w:r w:rsidR="00741DE9" w:rsidRPr="0021572A">
        <w:rPr>
          <w:rFonts w:ascii="Tw Cen MT" w:hAnsi="Tw Cen MT"/>
          <w:sz w:val="24"/>
        </w:rPr>
        <w:t>LGBTQ</w:t>
      </w:r>
      <w:r w:rsidR="00163FEC">
        <w:rPr>
          <w:rFonts w:ascii="Tw Cen MT" w:hAnsi="Tw Cen MT"/>
          <w:sz w:val="24"/>
        </w:rPr>
        <w:t>+</w:t>
      </w:r>
      <w:r w:rsidRPr="0021572A">
        <w:rPr>
          <w:rFonts w:ascii="Tw Cen MT" w:hAnsi="Tw Cen MT"/>
          <w:sz w:val="24"/>
        </w:rPr>
        <w:t xml:space="preserve"> applicants, however, their sexual orientation or gender can bring added challenges during </w:t>
      </w:r>
      <w:r w:rsidR="008B48F6" w:rsidRPr="0021572A">
        <w:rPr>
          <w:rFonts w:ascii="Tw Cen MT" w:hAnsi="Tw Cen MT"/>
          <w:sz w:val="24"/>
        </w:rPr>
        <w:t xml:space="preserve">the </w:t>
      </w:r>
      <w:r w:rsidRPr="0021572A">
        <w:rPr>
          <w:rFonts w:ascii="Tw Cen MT" w:hAnsi="Tw Cen MT"/>
          <w:sz w:val="24"/>
        </w:rPr>
        <w:t>admissions</w:t>
      </w:r>
      <w:r w:rsidR="008B48F6" w:rsidRPr="0021572A">
        <w:rPr>
          <w:rFonts w:ascii="Tw Cen MT" w:hAnsi="Tw Cen MT"/>
          <w:sz w:val="24"/>
        </w:rPr>
        <w:t xml:space="preserve"> process</w:t>
      </w:r>
      <w:r w:rsidRPr="0021572A">
        <w:rPr>
          <w:rFonts w:ascii="Tw Cen MT" w:hAnsi="Tw Cen MT"/>
          <w:sz w:val="24"/>
        </w:rPr>
        <w:t>.</w:t>
      </w:r>
      <w:r w:rsidR="008B48F6" w:rsidRPr="0021572A">
        <w:rPr>
          <w:rFonts w:ascii="Tw Cen MT" w:hAnsi="Tw Cen MT"/>
          <w:sz w:val="24"/>
        </w:rPr>
        <w:t xml:space="preserve"> For transgender students</w:t>
      </w:r>
      <w:r w:rsidRPr="0021572A">
        <w:rPr>
          <w:rFonts w:ascii="Tw Cen MT" w:hAnsi="Tw Cen MT"/>
          <w:sz w:val="24"/>
        </w:rPr>
        <w:t xml:space="preserve"> who are early in their process of transitioning</w:t>
      </w:r>
      <w:r w:rsidR="008B48F6" w:rsidRPr="0021572A">
        <w:rPr>
          <w:rFonts w:ascii="Tw Cen MT" w:hAnsi="Tw Cen MT"/>
          <w:sz w:val="24"/>
        </w:rPr>
        <w:t>, there</w:t>
      </w:r>
      <w:r w:rsidRPr="0021572A">
        <w:rPr>
          <w:rFonts w:ascii="Tw Cen MT" w:hAnsi="Tw Cen MT"/>
          <w:sz w:val="24"/>
        </w:rPr>
        <w:t xml:space="preserve"> may </w:t>
      </w:r>
      <w:r w:rsidR="008B48F6" w:rsidRPr="0021572A">
        <w:rPr>
          <w:rFonts w:ascii="Tw Cen MT" w:hAnsi="Tw Cen MT"/>
          <w:sz w:val="24"/>
        </w:rPr>
        <w:t>be</w:t>
      </w:r>
      <w:r w:rsidRPr="0021572A">
        <w:rPr>
          <w:rFonts w:ascii="Tw Cen MT" w:hAnsi="Tw Cen MT"/>
          <w:sz w:val="24"/>
        </w:rPr>
        <w:t xml:space="preserve"> many different reasons for wanting to use (or not use) their legal name. Students </w:t>
      </w:r>
      <w:r w:rsidR="00AD6C52" w:rsidRPr="0021572A">
        <w:rPr>
          <w:rFonts w:ascii="Tw Cen MT" w:hAnsi="Tw Cen MT"/>
          <w:sz w:val="24"/>
        </w:rPr>
        <w:t>should be aware</w:t>
      </w:r>
      <w:r w:rsidRPr="0021572A">
        <w:rPr>
          <w:rFonts w:ascii="Tw Cen MT" w:hAnsi="Tw Cen MT"/>
          <w:sz w:val="24"/>
        </w:rPr>
        <w:t xml:space="preserve"> that procedures and policies vary f</w:t>
      </w:r>
      <w:r w:rsidR="008B48F6" w:rsidRPr="0021572A">
        <w:rPr>
          <w:rFonts w:ascii="Tw Cen MT" w:hAnsi="Tw Cen MT"/>
          <w:sz w:val="24"/>
        </w:rPr>
        <w:t xml:space="preserve">rom institution to institution, so it </w:t>
      </w:r>
      <w:r w:rsidR="00B269E8" w:rsidRPr="0021572A">
        <w:rPr>
          <w:rFonts w:ascii="Tw Cen MT" w:hAnsi="Tw Cen MT"/>
          <w:sz w:val="24"/>
        </w:rPr>
        <w:t xml:space="preserve">is </w:t>
      </w:r>
      <w:r w:rsidR="008B48F6" w:rsidRPr="0021572A">
        <w:rPr>
          <w:rFonts w:ascii="Tw Cen MT" w:hAnsi="Tw Cen MT"/>
          <w:sz w:val="24"/>
        </w:rPr>
        <w:t xml:space="preserve">important to know </w:t>
      </w:r>
      <w:r w:rsidR="00F21B5C" w:rsidRPr="0021572A">
        <w:rPr>
          <w:rFonts w:ascii="Tw Cen MT" w:hAnsi="Tw Cen MT"/>
          <w:sz w:val="24"/>
        </w:rPr>
        <w:t>the requirements.</w:t>
      </w:r>
      <w:r w:rsidR="008B48F6" w:rsidRPr="0021572A">
        <w:rPr>
          <w:rFonts w:ascii="Tw Cen MT" w:hAnsi="Tw Cen MT"/>
          <w:sz w:val="24"/>
        </w:rPr>
        <w:t xml:space="preserve"> </w:t>
      </w:r>
    </w:p>
    <w:p w14:paraId="6DE1784D" w14:textId="0FC965BC" w:rsidR="006F0D2B" w:rsidRPr="0021572A" w:rsidRDefault="000C7517" w:rsidP="00471AB8">
      <w:pPr>
        <w:rPr>
          <w:rFonts w:ascii="Tw Cen MT" w:hAnsi="Tw Cen MT"/>
          <w:sz w:val="24"/>
        </w:rPr>
      </w:pPr>
      <w:r w:rsidRPr="0021572A">
        <w:rPr>
          <w:rFonts w:ascii="Tw Cen MT" w:hAnsi="Tw Cen MT"/>
          <w:sz w:val="24"/>
        </w:rPr>
        <w:t>T</w:t>
      </w:r>
      <w:r w:rsidR="006F0D2B" w:rsidRPr="0021572A">
        <w:rPr>
          <w:rFonts w:ascii="Tw Cen MT" w:hAnsi="Tw Cen MT"/>
          <w:sz w:val="24"/>
        </w:rPr>
        <w:t xml:space="preserve">he college process also represents a good opportunity </w:t>
      </w:r>
      <w:r w:rsidRPr="0021572A">
        <w:rPr>
          <w:rFonts w:ascii="Tw Cen MT" w:hAnsi="Tw Cen MT"/>
          <w:sz w:val="24"/>
        </w:rPr>
        <w:t xml:space="preserve">for students to </w:t>
      </w:r>
      <w:r w:rsidR="006F0D2B" w:rsidRPr="0021572A">
        <w:rPr>
          <w:rFonts w:ascii="Tw Cen MT" w:hAnsi="Tw Cen MT"/>
          <w:sz w:val="24"/>
        </w:rPr>
        <w:t xml:space="preserve">find a campus that is friendly and welcoming </w:t>
      </w:r>
      <w:r w:rsidR="00B269E8" w:rsidRPr="0021572A">
        <w:rPr>
          <w:rFonts w:ascii="Tw Cen MT" w:hAnsi="Tw Cen MT"/>
          <w:sz w:val="24"/>
        </w:rPr>
        <w:t xml:space="preserve">of </w:t>
      </w:r>
      <w:r w:rsidRPr="0021572A">
        <w:rPr>
          <w:rFonts w:ascii="Tw Cen MT" w:hAnsi="Tw Cen MT"/>
          <w:sz w:val="24"/>
        </w:rPr>
        <w:t>their</w:t>
      </w:r>
      <w:r w:rsidR="006F0D2B" w:rsidRPr="0021572A">
        <w:rPr>
          <w:rFonts w:ascii="Tw Cen MT" w:hAnsi="Tw Cen MT"/>
          <w:sz w:val="24"/>
        </w:rPr>
        <w:t xml:space="preserve"> </w:t>
      </w:r>
      <w:r w:rsidR="00741DE9" w:rsidRPr="0021572A">
        <w:rPr>
          <w:rFonts w:ascii="Tw Cen MT" w:hAnsi="Tw Cen MT"/>
          <w:sz w:val="24"/>
        </w:rPr>
        <w:t>LGBTQ</w:t>
      </w:r>
      <w:r w:rsidR="00163FEC">
        <w:rPr>
          <w:rFonts w:ascii="Tw Cen MT" w:hAnsi="Tw Cen MT"/>
          <w:sz w:val="24"/>
        </w:rPr>
        <w:t xml:space="preserve">+ </w:t>
      </w:r>
      <w:r w:rsidR="006F0D2B" w:rsidRPr="0021572A">
        <w:rPr>
          <w:rFonts w:ascii="Tw Cen MT" w:hAnsi="Tw Cen MT"/>
          <w:sz w:val="24"/>
        </w:rPr>
        <w:t xml:space="preserve">identity. This </w:t>
      </w:r>
      <w:r w:rsidR="008B48F6" w:rsidRPr="0021572A">
        <w:rPr>
          <w:rFonts w:ascii="Tw Cen MT" w:hAnsi="Tw Cen MT"/>
          <w:sz w:val="24"/>
        </w:rPr>
        <w:t>guide</w:t>
      </w:r>
      <w:r w:rsidR="006F0D2B" w:rsidRPr="0021572A">
        <w:rPr>
          <w:rFonts w:ascii="Tw Cen MT" w:hAnsi="Tw Cen MT"/>
          <w:sz w:val="24"/>
        </w:rPr>
        <w:t xml:space="preserve"> is designed to </w:t>
      </w:r>
      <w:r w:rsidRPr="0021572A">
        <w:rPr>
          <w:rFonts w:ascii="Tw Cen MT" w:hAnsi="Tw Cen MT"/>
          <w:sz w:val="24"/>
        </w:rPr>
        <w:t xml:space="preserve">help college access staff </w:t>
      </w:r>
      <w:r w:rsidR="008B48F6" w:rsidRPr="0021572A">
        <w:rPr>
          <w:rFonts w:ascii="Tw Cen MT" w:hAnsi="Tw Cen MT"/>
          <w:sz w:val="24"/>
        </w:rPr>
        <w:t>assist</w:t>
      </w:r>
      <w:r w:rsidRPr="0021572A">
        <w:rPr>
          <w:rFonts w:ascii="Tw Cen MT" w:hAnsi="Tw Cen MT"/>
          <w:sz w:val="24"/>
        </w:rPr>
        <w:t xml:space="preserve"> students who wish to be out during their application process and help </w:t>
      </w:r>
      <w:r w:rsidR="006F0D2B" w:rsidRPr="0021572A">
        <w:rPr>
          <w:rFonts w:ascii="Tw Cen MT" w:hAnsi="Tw Cen MT"/>
          <w:sz w:val="24"/>
        </w:rPr>
        <w:t xml:space="preserve">guide </w:t>
      </w:r>
      <w:r w:rsidRPr="0021572A">
        <w:rPr>
          <w:rFonts w:ascii="Tw Cen MT" w:hAnsi="Tw Cen MT"/>
          <w:sz w:val="24"/>
        </w:rPr>
        <w:t xml:space="preserve">students </w:t>
      </w:r>
      <w:r w:rsidR="006F0D2B" w:rsidRPr="0021572A">
        <w:rPr>
          <w:rFonts w:ascii="Tw Cen MT" w:hAnsi="Tw Cen MT"/>
          <w:sz w:val="24"/>
        </w:rPr>
        <w:t xml:space="preserve">through the process of assessing </w:t>
      </w:r>
      <w:r w:rsidR="00F21B5C" w:rsidRPr="0021572A">
        <w:rPr>
          <w:rFonts w:ascii="Tw Cen MT" w:hAnsi="Tw Cen MT"/>
          <w:sz w:val="24"/>
        </w:rPr>
        <w:t xml:space="preserve">the level of </w:t>
      </w:r>
      <w:r w:rsidR="00741DE9" w:rsidRPr="0021572A">
        <w:rPr>
          <w:rFonts w:ascii="Tw Cen MT" w:hAnsi="Tw Cen MT"/>
          <w:sz w:val="24"/>
        </w:rPr>
        <w:t>LGBTQ</w:t>
      </w:r>
      <w:r w:rsidR="00163FEC">
        <w:rPr>
          <w:rFonts w:ascii="Tw Cen MT" w:hAnsi="Tw Cen MT"/>
          <w:sz w:val="24"/>
        </w:rPr>
        <w:t>+</w:t>
      </w:r>
      <w:r w:rsidRPr="0021572A">
        <w:rPr>
          <w:rFonts w:ascii="Tw Cen MT" w:hAnsi="Tw Cen MT"/>
          <w:sz w:val="24"/>
        </w:rPr>
        <w:t xml:space="preserve"> friendliness</w:t>
      </w:r>
      <w:r w:rsidR="00F21B5C" w:rsidRPr="0021572A">
        <w:rPr>
          <w:rFonts w:ascii="Tw Cen MT" w:hAnsi="Tw Cen MT"/>
          <w:sz w:val="24"/>
        </w:rPr>
        <w:t xml:space="preserve"> on a campus</w:t>
      </w:r>
      <w:r w:rsidRPr="0021572A">
        <w:rPr>
          <w:rFonts w:ascii="Tw Cen MT" w:hAnsi="Tw Cen MT"/>
          <w:sz w:val="24"/>
        </w:rPr>
        <w:t xml:space="preserve">. </w:t>
      </w:r>
    </w:p>
    <w:p w14:paraId="7DD11D3A" w14:textId="77777777" w:rsidR="00295F6E" w:rsidRPr="00704FC6" w:rsidRDefault="00295F6E" w:rsidP="00AD6C52">
      <w:pPr>
        <w:pStyle w:val="Heading2"/>
        <w:rPr>
          <w:rFonts w:ascii="Tw Cen MT" w:hAnsi="Tw Cen MT"/>
        </w:rPr>
        <w:sectPr w:rsidR="00295F6E" w:rsidRPr="00704FC6" w:rsidSect="00945A8B">
          <w:type w:val="continuous"/>
          <w:pgSz w:w="12240" w:h="15840" w:code="1"/>
          <w:pgMar w:top="1440" w:right="1440" w:bottom="1440" w:left="1440" w:header="360" w:footer="720" w:gutter="0"/>
          <w:cols w:space="504"/>
          <w:titlePg/>
          <w:docGrid w:linePitch="360"/>
        </w:sectPr>
      </w:pPr>
      <w:bookmarkStart w:id="7" w:name="_Toc450201032"/>
    </w:p>
    <w:p w14:paraId="5A5B32A1" w14:textId="6DD2AD5D" w:rsidR="006F0D2B" w:rsidRPr="00704FC6" w:rsidRDefault="006F0D2B" w:rsidP="00704FC6">
      <w:pPr>
        <w:pStyle w:val="Heading2"/>
      </w:pPr>
      <w:bookmarkStart w:id="8" w:name="_Toc451857734"/>
      <w:r w:rsidRPr="00704FC6">
        <w:t xml:space="preserve">Assessing the </w:t>
      </w:r>
      <w:r w:rsidR="00741DE9" w:rsidRPr="00704FC6">
        <w:t>LGBTQ</w:t>
      </w:r>
      <w:r w:rsidR="00163FEC">
        <w:t>+</w:t>
      </w:r>
      <w:r w:rsidRPr="00704FC6">
        <w:t xml:space="preserve"> </w:t>
      </w:r>
      <w:r w:rsidR="00AD6C52" w:rsidRPr="00704FC6">
        <w:t>Friendliness of a Campus</w:t>
      </w:r>
      <w:bookmarkEnd w:id="7"/>
      <w:bookmarkEnd w:id="8"/>
    </w:p>
    <w:p w14:paraId="77B22E5D" w14:textId="7781C481" w:rsidR="006F0D2B" w:rsidRPr="000677A0" w:rsidRDefault="000677A0" w:rsidP="00471AB8">
      <w:pPr>
        <w:rPr>
          <w:rFonts w:ascii="Tw Cen MT" w:hAnsi="Tw Cen MT"/>
          <w:sz w:val="24"/>
          <w:szCs w:val="24"/>
        </w:rPr>
      </w:pPr>
      <w:r w:rsidRPr="000677A0">
        <w:rPr>
          <w:noProof/>
          <w:sz w:val="24"/>
          <w:szCs w:val="24"/>
        </w:rPr>
        <mc:AlternateContent>
          <mc:Choice Requires="wps">
            <w:drawing>
              <wp:anchor distT="0" distB="0" distL="114300" distR="114300" simplePos="0" relativeHeight="251681792" behindDoc="0" locked="0" layoutInCell="1" allowOverlap="1" wp14:anchorId="138A8B22" wp14:editId="64355DF5">
                <wp:simplePos x="0" y="0"/>
                <wp:positionH relativeFrom="margin">
                  <wp:align>right</wp:align>
                </wp:positionH>
                <wp:positionV relativeFrom="paragraph">
                  <wp:posOffset>14605</wp:posOffset>
                </wp:positionV>
                <wp:extent cx="2567940" cy="2367280"/>
                <wp:effectExtent l="0" t="0" r="22860" b="13970"/>
                <wp:wrapSquare wrapText="bothSides"/>
                <wp:docPr id="4" name="Rectangle 4"/>
                <wp:cNvGraphicFramePr/>
                <a:graphic xmlns:a="http://schemas.openxmlformats.org/drawingml/2006/main">
                  <a:graphicData uri="http://schemas.microsoft.com/office/word/2010/wordprocessingShape">
                    <wps:wsp>
                      <wps:cNvSpPr/>
                      <wps:spPr>
                        <a:xfrm>
                          <a:off x="0" y="0"/>
                          <a:ext cx="2567940" cy="2367280"/>
                        </a:xfrm>
                        <a:prstGeom prst="rect">
                          <a:avLst/>
                        </a:prstGeom>
                        <a:ln>
                          <a:solidFill>
                            <a:schemeClr val="bg1">
                              <a:lumMod val="85000"/>
                            </a:schemeClr>
                          </a:solidFill>
                        </a:ln>
                      </wps:spPr>
                      <wps:style>
                        <a:lnRef idx="2">
                          <a:schemeClr val="accent1"/>
                        </a:lnRef>
                        <a:fillRef idx="1">
                          <a:schemeClr val="lt1"/>
                        </a:fillRef>
                        <a:effectRef idx="0">
                          <a:schemeClr val="accent1"/>
                        </a:effectRef>
                        <a:fontRef idx="minor">
                          <a:schemeClr val="dk1"/>
                        </a:fontRef>
                      </wps:style>
                      <wps:txbx>
                        <w:txbxContent>
                          <w:p w14:paraId="2381E31D" w14:textId="3232C864" w:rsidR="00704FC6" w:rsidRPr="000677A0" w:rsidRDefault="0021572A" w:rsidP="000677A0">
                            <w:pPr>
                              <w:pStyle w:val="Heading2"/>
                              <w:pBdr>
                                <w:bottom w:val="single" w:sz="18" w:space="1" w:color="92278F" w:themeColor="accent1"/>
                              </w:pBdr>
                            </w:pPr>
                            <w:bookmarkStart w:id="9" w:name="_Toc451516200"/>
                            <w:bookmarkStart w:id="10" w:name="_Toc451857519"/>
                            <w:bookmarkStart w:id="11" w:name="_Toc451857733"/>
                            <w:r w:rsidRPr="000677A0">
                              <w:t>RESOURCE:</w:t>
                            </w:r>
                            <w:r w:rsidR="000677A0" w:rsidRPr="000677A0">
                              <w:t xml:space="preserve"> </w:t>
                            </w:r>
                            <w:r w:rsidR="00704FC6" w:rsidRPr="000677A0">
                              <w:t>Campus Pride Index</w:t>
                            </w:r>
                            <w:bookmarkEnd w:id="9"/>
                            <w:bookmarkEnd w:id="10"/>
                            <w:bookmarkEnd w:id="11"/>
                          </w:p>
                          <w:p w14:paraId="48F288B5" w14:textId="5AFC90F4" w:rsidR="00704FC6" w:rsidRPr="0021572A" w:rsidRDefault="00704FC6" w:rsidP="0021572A">
                            <w:pPr>
                              <w:spacing w:before="120"/>
                              <w:rPr>
                                <w:sz w:val="24"/>
                                <w:szCs w:val="22"/>
                              </w:rPr>
                            </w:pPr>
                            <w:r w:rsidRPr="0021572A">
                              <w:rPr>
                                <w:sz w:val="24"/>
                                <w:szCs w:val="22"/>
                              </w:rPr>
                              <w:t>The FREE online tool allows prospective students, families/parents and those interested in higher education to search a database of LGBTQ</w:t>
                            </w:r>
                            <w:r w:rsidR="00163FEC">
                              <w:rPr>
                                <w:sz w:val="24"/>
                                <w:szCs w:val="22"/>
                              </w:rPr>
                              <w:t xml:space="preserve">+ </w:t>
                            </w:r>
                            <w:r w:rsidRPr="0021572A">
                              <w:rPr>
                                <w:sz w:val="24"/>
                                <w:szCs w:val="22"/>
                              </w:rPr>
                              <w:t>friendly campuses who have come out to improve the academic experience and quality of campus life.</w:t>
                            </w:r>
                          </w:p>
                          <w:p w14:paraId="1B7351EF" w14:textId="77777777" w:rsidR="00704FC6" w:rsidRPr="0021572A" w:rsidRDefault="00704FC6" w:rsidP="0021572A">
                            <w:pPr>
                              <w:jc w:val="center"/>
                              <w:rPr>
                                <w:sz w:val="24"/>
                                <w:szCs w:val="22"/>
                              </w:rPr>
                            </w:pPr>
                            <w:r w:rsidRPr="00260A7E">
                              <w:rPr>
                                <w:color w:val="92278F" w:themeColor="accent1"/>
                                <w:sz w:val="24"/>
                                <w:szCs w:val="22"/>
                              </w:rPr>
                              <w:t xml:space="preserve">See Campus Pride Index: </w:t>
                            </w:r>
                            <w:hyperlink r:id="rId17" w:history="1">
                              <w:r w:rsidRPr="0021572A">
                                <w:rPr>
                                  <w:rStyle w:val="Hyperlink"/>
                                  <w:sz w:val="24"/>
                                  <w:szCs w:val="22"/>
                                </w:rPr>
                                <w:t>http://www.campusprideindex.org</w:t>
                              </w:r>
                            </w:hyperlink>
                          </w:p>
                          <w:p w14:paraId="321B10EC" w14:textId="77777777" w:rsidR="00704FC6" w:rsidRPr="00471AB8" w:rsidRDefault="00704FC6" w:rsidP="00704FC6">
                            <w:pPr>
                              <w:pStyle w:val="NormalWeb"/>
                              <w:jc w:val="left"/>
                              <w:rPr>
                                <w:rFonts w:ascii="Century Gothic" w:hAnsi="Century Gothic"/>
                                <w:color w:val="000000" w:themeColor="text1"/>
                                <w:sz w:val="20"/>
                                <w:szCs w:val="20"/>
                              </w:rPr>
                            </w:pPr>
                          </w:p>
                          <w:p w14:paraId="5364F211" w14:textId="77777777" w:rsidR="00704FC6" w:rsidRDefault="00704FC6" w:rsidP="00704F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8A8B22" id="Rectangle 4" o:spid="_x0000_s1027" style="position:absolute;margin-left:151pt;margin-top:1.15pt;width:202.2pt;height:186.4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BBlwIAAIkFAAAOAAAAZHJzL2Uyb0RvYy54bWysVNtuGyEQfa/Uf0C8N7t2nZuVdWQlSlUp&#10;TaIkVZ4xCzYqMBSwd92v78BeYqWRKlV9YRnmzBlm9jAXl63RZCd8UGArOjkqKRGWQ63suqLfn28+&#10;nVESIrM102BFRfci0MvFxw8XjZuLKWxA18ITJLFh3riKbmJ086IIfCMMC0fghEWnBG9YRNOvi9qz&#10;BtmNLqZleVI04GvngYsQ8PS6c9JF5pdS8HgvZRCR6Iri3WJefV5XaS0WF2y+9sxtFO+vwf7hFoYp&#10;i0lHqmsWGdl69QeVUdxDABmPOJgCpFRc5Bqwmkn5ppqnDXMi14LNCW5sU/h/tPxu9+CJqis6o8Qy&#10;g7/oEZvG7FoLMkvtaVyYI+rJPfjeCrhNtbbSm/TFKkibW7ofWyraSDgeTo9PTs9n2HmOvunnk9Pp&#10;WW568RrufIhfBBiSNhX1mD63ku1uQ8SUCB0gKZu2aQ2gVX2jtM5GUou40p7sGP7n1XqSCfTWfIO6&#10;Ozs7LsshcRZXgmfuAybMlNiLVHJXZN7FvRZd5kchsVeprJxgJOpyMM6FjZPUtMyE6BQm8ZZjYHez&#10;N4F6DOqxKUxk9Y6B5d8zjhE5K9g4Bhtlwb9HUP8Yris7/FB9V3MqP7arNgskI9PJCuo9isZD95qC&#10;4zcKf90tC/GBeXw++LtxJMR7XKSGpqLQ7yjZgP/13nnCo6rRS0mDz7Gi4eeWeUGJ/mpR7+eTWVJR&#10;zMbs+HSKhj/0rA49dmuuAJUwweHjeN4mfNTDVnowLzg5likrupjlmLuiPPrBuIrdmMDZw8VymWH4&#10;Zh2Lt/bJ8USe+pyk+dy+MO96/UaU/h0MT5fN38i4w6ZIC8ttBKmyxl/72v8BfO9ZRv1sSgPl0M6o&#10;1wm6+A0AAP//AwBQSwMEFAAGAAgAAAAhAFHZVrTfAAAABgEAAA8AAABkcnMvZG93bnJldi54bWxM&#10;j81OwzAQhO9IvIO1SFxQ67QNBYVsKlSpEgc4pPyJ2zZe4kBsR7HbmrevOcFxNKOZb8pVNL048Og7&#10;ZxFm0wwE28apzrYIL8+byS0IH8gq6p1lhB/2sKrOz0oqlDvamg/b0IpUYn1BCDqEoZDSN5oN+akb&#10;2Cbv042GQpJjK9VIx1RuejnPsqU01Nm0oGngtebme7s3CE+v5oPe3zY6j1FdPdJX/bAeasTLi3h/&#10;ByJwDH9h+MVP6FAlpp3bW+VFj5COBIT5AkQy8yzPQewQFjfXM5BVKf/jVycAAAD//wMAUEsBAi0A&#10;FAAGAAgAAAAhALaDOJL+AAAA4QEAABMAAAAAAAAAAAAAAAAAAAAAAFtDb250ZW50X1R5cGVzXS54&#10;bWxQSwECLQAUAAYACAAAACEAOP0h/9YAAACUAQAACwAAAAAAAAAAAAAAAAAvAQAAX3JlbHMvLnJl&#10;bHNQSwECLQAUAAYACAAAACEANomwQZcCAACJBQAADgAAAAAAAAAAAAAAAAAuAgAAZHJzL2Uyb0Rv&#10;Yy54bWxQSwECLQAUAAYACAAAACEAUdlWtN8AAAAGAQAADwAAAAAAAAAAAAAAAADxBAAAZHJzL2Rv&#10;d25yZXYueG1sUEsFBgAAAAAEAAQA8wAAAP0FAAAAAA==&#10;" fillcolor="white [3201]" strokecolor="#d8d8d8 [2732]" strokeweight="2pt">
                <v:textbox>
                  <w:txbxContent>
                    <w:p w14:paraId="2381E31D" w14:textId="3232C864" w:rsidR="00704FC6" w:rsidRPr="000677A0" w:rsidRDefault="0021572A" w:rsidP="000677A0">
                      <w:pPr>
                        <w:pStyle w:val="Heading2"/>
                        <w:pBdr>
                          <w:bottom w:val="single" w:sz="18" w:space="1" w:color="92278F" w:themeColor="accent1"/>
                        </w:pBdr>
                      </w:pPr>
                      <w:bookmarkStart w:id="14" w:name="_Toc451516200"/>
                      <w:bookmarkStart w:id="15" w:name="_Toc451857519"/>
                      <w:bookmarkStart w:id="16" w:name="_Toc451857733"/>
                      <w:r w:rsidRPr="000677A0">
                        <w:t>RESOURCE:</w:t>
                      </w:r>
                      <w:r w:rsidR="000677A0" w:rsidRPr="000677A0">
                        <w:t xml:space="preserve"> </w:t>
                      </w:r>
                      <w:r w:rsidR="00704FC6" w:rsidRPr="000677A0">
                        <w:t>Campus Pride Index</w:t>
                      </w:r>
                      <w:bookmarkEnd w:id="14"/>
                      <w:bookmarkEnd w:id="15"/>
                      <w:bookmarkEnd w:id="16"/>
                    </w:p>
                    <w:p w14:paraId="48F288B5" w14:textId="5AFC90F4" w:rsidR="00704FC6" w:rsidRPr="0021572A" w:rsidRDefault="00704FC6" w:rsidP="0021572A">
                      <w:pPr>
                        <w:spacing w:before="120"/>
                        <w:rPr>
                          <w:sz w:val="24"/>
                          <w:szCs w:val="22"/>
                        </w:rPr>
                      </w:pPr>
                      <w:r w:rsidRPr="0021572A">
                        <w:rPr>
                          <w:sz w:val="24"/>
                          <w:szCs w:val="22"/>
                        </w:rPr>
                        <w:t>The FREE online tool allows prospective students, families/parents and those interested in higher education to search a database of LGBTQ</w:t>
                      </w:r>
                      <w:r w:rsidR="00163FEC">
                        <w:rPr>
                          <w:sz w:val="24"/>
                          <w:szCs w:val="22"/>
                        </w:rPr>
                        <w:t xml:space="preserve">+ </w:t>
                      </w:r>
                      <w:r w:rsidRPr="0021572A">
                        <w:rPr>
                          <w:sz w:val="24"/>
                          <w:szCs w:val="22"/>
                        </w:rPr>
                        <w:t>friendly campuses who have come out to improve the academic experience and quality of campus life.</w:t>
                      </w:r>
                    </w:p>
                    <w:p w14:paraId="1B7351EF" w14:textId="77777777" w:rsidR="00704FC6" w:rsidRPr="0021572A" w:rsidRDefault="00704FC6" w:rsidP="0021572A">
                      <w:pPr>
                        <w:jc w:val="center"/>
                        <w:rPr>
                          <w:sz w:val="24"/>
                          <w:szCs w:val="22"/>
                        </w:rPr>
                      </w:pPr>
                      <w:r w:rsidRPr="00260A7E">
                        <w:rPr>
                          <w:color w:val="92278F" w:themeColor="accent1"/>
                          <w:sz w:val="24"/>
                          <w:szCs w:val="22"/>
                        </w:rPr>
                        <w:t xml:space="preserve">See Campus Pride Index: </w:t>
                      </w:r>
                      <w:hyperlink r:id="rId18" w:history="1">
                        <w:r w:rsidRPr="0021572A">
                          <w:rPr>
                            <w:rStyle w:val="Hyperlink"/>
                            <w:sz w:val="24"/>
                            <w:szCs w:val="22"/>
                          </w:rPr>
                          <w:t>http://www.campusprideindex.org</w:t>
                        </w:r>
                      </w:hyperlink>
                    </w:p>
                    <w:p w14:paraId="321B10EC" w14:textId="77777777" w:rsidR="00704FC6" w:rsidRPr="00471AB8" w:rsidRDefault="00704FC6" w:rsidP="00704FC6">
                      <w:pPr>
                        <w:pStyle w:val="NormalWeb"/>
                        <w:jc w:val="left"/>
                        <w:rPr>
                          <w:rFonts w:ascii="Century Gothic" w:hAnsi="Century Gothic"/>
                          <w:color w:val="000000" w:themeColor="text1"/>
                          <w:sz w:val="20"/>
                          <w:szCs w:val="20"/>
                        </w:rPr>
                      </w:pPr>
                    </w:p>
                    <w:p w14:paraId="5364F211" w14:textId="77777777" w:rsidR="00704FC6" w:rsidRDefault="00704FC6" w:rsidP="00704FC6">
                      <w:pPr>
                        <w:jc w:val="center"/>
                      </w:pPr>
                    </w:p>
                  </w:txbxContent>
                </v:textbox>
                <w10:wrap type="square" anchorx="margin"/>
              </v:rect>
            </w:pict>
          </mc:Fallback>
        </mc:AlternateContent>
      </w:r>
      <w:r w:rsidR="006F0D2B" w:rsidRPr="000677A0">
        <w:rPr>
          <w:rFonts w:ascii="Tw Cen MT" w:hAnsi="Tw Cen MT"/>
          <w:sz w:val="24"/>
          <w:szCs w:val="24"/>
        </w:rPr>
        <w:t>Figuring out how warmly a campus welcome</w:t>
      </w:r>
      <w:r w:rsidR="001F3F1D" w:rsidRPr="000677A0">
        <w:rPr>
          <w:rFonts w:ascii="Tw Cen MT" w:hAnsi="Tw Cen MT"/>
          <w:sz w:val="24"/>
          <w:szCs w:val="24"/>
        </w:rPr>
        <w:t xml:space="preserve">s </w:t>
      </w:r>
      <w:r w:rsidR="00741DE9" w:rsidRPr="000677A0">
        <w:rPr>
          <w:rFonts w:ascii="Tw Cen MT" w:hAnsi="Tw Cen MT"/>
          <w:sz w:val="24"/>
          <w:szCs w:val="24"/>
        </w:rPr>
        <w:t>LGBTQ</w:t>
      </w:r>
      <w:r w:rsidR="00163FEC">
        <w:rPr>
          <w:rFonts w:ascii="Tw Cen MT" w:hAnsi="Tw Cen MT"/>
          <w:sz w:val="24"/>
          <w:szCs w:val="24"/>
        </w:rPr>
        <w:t>+</w:t>
      </w:r>
      <w:r w:rsidR="001F3F1D" w:rsidRPr="000677A0">
        <w:rPr>
          <w:rFonts w:ascii="Tw Cen MT" w:hAnsi="Tw Cen MT"/>
          <w:sz w:val="24"/>
          <w:szCs w:val="24"/>
        </w:rPr>
        <w:t xml:space="preserve"> students</w:t>
      </w:r>
      <w:r w:rsidR="006F0D2B" w:rsidRPr="000677A0">
        <w:rPr>
          <w:rFonts w:ascii="Tw Cen MT" w:hAnsi="Tw Cen MT"/>
          <w:sz w:val="24"/>
          <w:szCs w:val="24"/>
        </w:rPr>
        <w:t xml:space="preserve"> involve</w:t>
      </w:r>
      <w:r w:rsidR="00F21B5C" w:rsidRPr="000677A0">
        <w:rPr>
          <w:rFonts w:ascii="Tw Cen MT" w:hAnsi="Tw Cen MT"/>
          <w:sz w:val="24"/>
          <w:szCs w:val="24"/>
        </w:rPr>
        <w:t>s</w:t>
      </w:r>
      <w:r w:rsidR="006F0D2B" w:rsidRPr="000677A0">
        <w:rPr>
          <w:rFonts w:ascii="Tw Cen MT" w:hAnsi="Tw Cen MT"/>
          <w:sz w:val="24"/>
          <w:szCs w:val="24"/>
        </w:rPr>
        <w:t xml:space="preserve"> weighing </w:t>
      </w:r>
      <w:proofErr w:type="gramStart"/>
      <w:r w:rsidR="006F0D2B" w:rsidRPr="000677A0">
        <w:rPr>
          <w:rFonts w:ascii="Tw Cen MT" w:hAnsi="Tw Cen MT"/>
          <w:sz w:val="24"/>
          <w:szCs w:val="24"/>
        </w:rPr>
        <w:t>a number of</w:t>
      </w:r>
      <w:proofErr w:type="gramEnd"/>
      <w:r w:rsidR="006F0D2B" w:rsidRPr="000677A0">
        <w:rPr>
          <w:rFonts w:ascii="Tw Cen MT" w:hAnsi="Tw Cen MT"/>
          <w:sz w:val="24"/>
          <w:szCs w:val="24"/>
        </w:rPr>
        <w:t xml:space="preserve"> factors, including policies in place and less concrete cultural forces.</w:t>
      </w:r>
    </w:p>
    <w:p w14:paraId="09A9AADD" w14:textId="62B7ABD9" w:rsidR="006F0D2B" w:rsidRPr="000677A0" w:rsidRDefault="00741DE9" w:rsidP="0021572A">
      <w:pPr>
        <w:pStyle w:val="Heading3"/>
        <w:spacing w:before="240"/>
        <w:rPr>
          <w:sz w:val="24"/>
          <w:szCs w:val="24"/>
        </w:rPr>
      </w:pPr>
      <w:r w:rsidRPr="000677A0">
        <w:rPr>
          <w:rStyle w:val="Strong"/>
          <w:b w:val="0"/>
          <w:bCs w:val="0"/>
          <w:sz w:val="24"/>
          <w:szCs w:val="24"/>
        </w:rPr>
        <w:t>LGBTQ</w:t>
      </w:r>
      <w:r w:rsidR="000C7517" w:rsidRPr="000677A0">
        <w:rPr>
          <w:rStyle w:val="Strong"/>
          <w:b w:val="0"/>
          <w:bCs w:val="0"/>
          <w:sz w:val="24"/>
          <w:szCs w:val="24"/>
        </w:rPr>
        <w:t>-Inclusive Policies</w:t>
      </w:r>
    </w:p>
    <w:p w14:paraId="4D0C842D" w14:textId="6187BF2C" w:rsidR="000C7517" w:rsidRPr="000677A0" w:rsidRDefault="006F0D2B" w:rsidP="00F21B5C">
      <w:pPr>
        <w:pStyle w:val="NormalWeb"/>
        <w:spacing w:after="0" w:line="240" w:lineRule="auto"/>
        <w:jc w:val="left"/>
        <w:rPr>
          <w:rFonts w:ascii="Tw Cen MT" w:hAnsi="Tw Cen MT"/>
          <w:sz w:val="24"/>
          <w:szCs w:val="24"/>
        </w:rPr>
      </w:pPr>
      <w:r w:rsidRPr="000677A0">
        <w:rPr>
          <w:rFonts w:ascii="Tw Cen MT" w:hAnsi="Tw Cen MT"/>
          <w:sz w:val="24"/>
          <w:szCs w:val="24"/>
        </w:rPr>
        <w:t xml:space="preserve">An </w:t>
      </w:r>
      <w:r w:rsidR="00741DE9" w:rsidRPr="000677A0">
        <w:rPr>
          <w:rFonts w:ascii="Tw Cen MT" w:hAnsi="Tw Cen MT"/>
          <w:sz w:val="24"/>
          <w:szCs w:val="24"/>
        </w:rPr>
        <w:t>LGBTQ</w:t>
      </w:r>
      <w:r w:rsidR="00163FEC">
        <w:rPr>
          <w:rFonts w:ascii="Tw Cen MT" w:hAnsi="Tw Cen MT"/>
          <w:sz w:val="24"/>
          <w:szCs w:val="24"/>
        </w:rPr>
        <w:t xml:space="preserve">+ </w:t>
      </w:r>
      <w:r w:rsidRPr="000677A0">
        <w:rPr>
          <w:rFonts w:ascii="Tw Cen MT" w:hAnsi="Tw Cen MT"/>
          <w:sz w:val="24"/>
          <w:szCs w:val="24"/>
        </w:rPr>
        <w:t xml:space="preserve">friendly campus </w:t>
      </w:r>
      <w:r w:rsidR="00B269E8" w:rsidRPr="000677A0">
        <w:rPr>
          <w:rFonts w:ascii="Tw Cen MT" w:hAnsi="Tw Cen MT"/>
          <w:sz w:val="24"/>
          <w:szCs w:val="24"/>
        </w:rPr>
        <w:t xml:space="preserve">will </w:t>
      </w:r>
      <w:r w:rsidRPr="000677A0">
        <w:rPr>
          <w:rFonts w:ascii="Tw Cen MT" w:hAnsi="Tw Cen MT"/>
          <w:sz w:val="24"/>
          <w:szCs w:val="24"/>
        </w:rPr>
        <w:t xml:space="preserve">have policies in place </w:t>
      </w:r>
      <w:r w:rsidR="00B269E8" w:rsidRPr="000677A0">
        <w:rPr>
          <w:rFonts w:ascii="Tw Cen MT" w:hAnsi="Tw Cen MT"/>
          <w:sz w:val="24"/>
          <w:szCs w:val="24"/>
        </w:rPr>
        <w:t xml:space="preserve">to </w:t>
      </w:r>
      <w:r w:rsidRPr="000677A0">
        <w:rPr>
          <w:rFonts w:ascii="Tw Cen MT" w:hAnsi="Tw Cen MT"/>
          <w:sz w:val="24"/>
          <w:szCs w:val="24"/>
        </w:rPr>
        <w:t xml:space="preserve">ensure that </w:t>
      </w:r>
      <w:r w:rsidR="00741DE9" w:rsidRPr="000677A0">
        <w:rPr>
          <w:rFonts w:ascii="Tw Cen MT" w:hAnsi="Tw Cen MT"/>
          <w:sz w:val="24"/>
          <w:szCs w:val="24"/>
        </w:rPr>
        <w:t>LGBTQ</w:t>
      </w:r>
      <w:r w:rsidR="00163FEC">
        <w:rPr>
          <w:rFonts w:ascii="Tw Cen MT" w:hAnsi="Tw Cen MT"/>
          <w:sz w:val="24"/>
          <w:szCs w:val="24"/>
        </w:rPr>
        <w:t>+</w:t>
      </w:r>
      <w:r w:rsidRPr="000677A0">
        <w:rPr>
          <w:rFonts w:ascii="Tw Cen MT" w:hAnsi="Tw Cen MT"/>
          <w:sz w:val="24"/>
          <w:szCs w:val="24"/>
        </w:rPr>
        <w:t xml:space="preserve"> students are comfortable and protected during their college years. </w:t>
      </w:r>
    </w:p>
    <w:p w14:paraId="74378C69" w14:textId="650399AA" w:rsidR="006F0D2B" w:rsidRPr="000677A0" w:rsidRDefault="006F0D2B" w:rsidP="00295F6E">
      <w:pPr>
        <w:pStyle w:val="NormalWeb"/>
        <w:numPr>
          <w:ilvl w:val="0"/>
          <w:numId w:val="9"/>
        </w:numPr>
        <w:spacing w:after="0" w:line="240" w:lineRule="auto"/>
        <w:jc w:val="left"/>
        <w:rPr>
          <w:rFonts w:ascii="Tw Cen MT" w:hAnsi="Tw Cen MT"/>
          <w:sz w:val="24"/>
          <w:szCs w:val="24"/>
        </w:rPr>
      </w:pPr>
      <w:r w:rsidRPr="000677A0">
        <w:rPr>
          <w:rFonts w:ascii="Tw Cen MT" w:hAnsi="Tw Cen MT"/>
          <w:sz w:val="24"/>
          <w:szCs w:val="24"/>
        </w:rPr>
        <w:t>Look to see if a campus non-discrimination policy includes sexual orientation and gender identity.</w:t>
      </w:r>
    </w:p>
    <w:p w14:paraId="12127EB9" w14:textId="142E0CFB" w:rsidR="006F0D2B" w:rsidRPr="000677A0" w:rsidRDefault="006F0D2B" w:rsidP="00471AB8">
      <w:pPr>
        <w:pStyle w:val="NormalWeb"/>
        <w:numPr>
          <w:ilvl w:val="0"/>
          <w:numId w:val="9"/>
        </w:numPr>
        <w:spacing w:after="0" w:line="240" w:lineRule="auto"/>
        <w:jc w:val="left"/>
        <w:rPr>
          <w:rFonts w:ascii="Tw Cen MT" w:hAnsi="Tw Cen MT"/>
          <w:sz w:val="24"/>
          <w:szCs w:val="24"/>
        </w:rPr>
      </w:pPr>
      <w:r w:rsidRPr="000677A0">
        <w:rPr>
          <w:rFonts w:ascii="Tw Cen MT" w:hAnsi="Tw Cen MT"/>
          <w:sz w:val="24"/>
          <w:szCs w:val="24"/>
        </w:rPr>
        <w:t>For transgender</w:t>
      </w:r>
      <w:r w:rsidR="00163FEC">
        <w:rPr>
          <w:rFonts w:ascii="Tw Cen MT" w:hAnsi="Tw Cen MT"/>
          <w:sz w:val="24"/>
          <w:szCs w:val="24"/>
        </w:rPr>
        <w:t>, non-binary,</w:t>
      </w:r>
      <w:r w:rsidRPr="000677A0">
        <w:rPr>
          <w:rFonts w:ascii="Tw Cen MT" w:hAnsi="Tw Cen MT"/>
          <w:sz w:val="24"/>
          <w:szCs w:val="24"/>
        </w:rPr>
        <w:t xml:space="preserve"> and gender non-conforming students, it is often crucial that the school offers an easy process for changing gender markers on official school records. Some schools also cover transition-related care coverage in their campus insurance plans.</w:t>
      </w:r>
    </w:p>
    <w:p w14:paraId="6A944C4E" w14:textId="6FE7539E" w:rsidR="006F0D2B" w:rsidRPr="000677A0" w:rsidRDefault="006F0D2B" w:rsidP="00471AB8">
      <w:pPr>
        <w:pStyle w:val="NormalWeb"/>
        <w:numPr>
          <w:ilvl w:val="0"/>
          <w:numId w:val="9"/>
        </w:numPr>
        <w:spacing w:after="0" w:line="240" w:lineRule="auto"/>
        <w:jc w:val="left"/>
        <w:rPr>
          <w:rFonts w:ascii="Tw Cen MT" w:hAnsi="Tw Cen MT"/>
          <w:sz w:val="24"/>
          <w:szCs w:val="24"/>
        </w:rPr>
      </w:pPr>
      <w:r w:rsidRPr="000677A0">
        <w:rPr>
          <w:rFonts w:ascii="Tw Cen MT" w:hAnsi="Tw Cen MT"/>
          <w:sz w:val="24"/>
          <w:szCs w:val="24"/>
        </w:rPr>
        <w:t xml:space="preserve">Other </w:t>
      </w:r>
      <w:r w:rsidR="00741DE9" w:rsidRPr="000677A0">
        <w:rPr>
          <w:rFonts w:ascii="Tw Cen MT" w:hAnsi="Tw Cen MT"/>
          <w:sz w:val="24"/>
          <w:szCs w:val="24"/>
        </w:rPr>
        <w:t>LGBTQ</w:t>
      </w:r>
      <w:r w:rsidR="00163FEC">
        <w:rPr>
          <w:rFonts w:ascii="Tw Cen MT" w:hAnsi="Tw Cen MT"/>
          <w:sz w:val="24"/>
          <w:szCs w:val="24"/>
        </w:rPr>
        <w:t xml:space="preserve">+ </w:t>
      </w:r>
      <w:r w:rsidRPr="000677A0">
        <w:rPr>
          <w:rFonts w:ascii="Tw Cen MT" w:hAnsi="Tw Cen MT"/>
          <w:sz w:val="24"/>
          <w:szCs w:val="24"/>
        </w:rPr>
        <w:t>friendly policies include providing gender-neutral housing (in which students of different genders may live together in the same room) and gender-neutral bathrooms. </w:t>
      </w:r>
    </w:p>
    <w:p w14:paraId="56404904" w14:textId="0E49B99B" w:rsidR="00F21B5C" w:rsidRPr="000677A0" w:rsidRDefault="006F0D2B" w:rsidP="00F21B5C">
      <w:pPr>
        <w:pStyle w:val="NormalWeb"/>
        <w:numPr>
          <w:ilvl w:val="0"/>
          <w:numId w:val="9"/>
        </w:numPr>
        <w:spacing w:after="0" w:line="240" w:lineRule="auto"/>
        <w:jc w:val="left"/>
        <w:rPr>
          <w:rFonts w:ascii="Tw Cen MT" w:hAnsi="Tw Cen MT"/>
          <w:sz w:val="24"/>
          <w:szCs w:val="24"/>
        </w:rPr>
      </w:pPr>
      <w:r w:rsidRPr="000677A0">
        <w:rPr>
          <w:rFonts w:ascii="Tw Cen MT" w:hAnsi="Tw Cen MT"/>
          <w:sz w:val="24"/>
          <w:szCs w:val="24"/>
        </w:rPr>
        <w:t xml:space="preserve">The way that a campus treats its </w:t>
      </w:r>
      <w:r w:rsidR="00741DE9" w:rsidRPr="000677A0">
        <w:rPr>
          <w:rFonts w:ascii="Tw Cen MT" w:hAnsi="Tw Cen MT"/>
          <w:sz w:val="24"/>
          <w:szCs w:val="24"/>
        </w:rPr>
        <w:t>LGBTQ</w:t>
      </w:r>
      <w:r w:rsidR="00163FEC">
        <w:rPr>
          <w:rFonts w:ascii="Tw Cen MT" w:hAnsi="Tw Cen MT"/>
          <w:sz w:val="24"/>
          <w:szCs w:val="24"/>
        </w:rPr>
        <w:t>+</w:t>
      </w:r>
      <w:r w:rsidRPr="000677A0">
        <w:rPr>
          <w:rFonts w:ascii="Tw Cen MT" w:hAnsi="Tw Cen MT"/>
          <w:sz w:val="24"/>
          <w:szCs w:val="24"/>
        </w:rPr>
        <w:t xml:space="preserve"> employees is an important indicator of how welcoming a campus will be to </w:t>
      </w:r>
      <w:r w:rsidR="00741DE9" w:rsidRPr="000677A0">
        <w:rPr>
          <w:rFonts w:ascii="Tw Cen MT" w:hAnsi="Tw Cen MT"/>
          <w:sz w:val="24"/>
          <w:szCs w:val="24"/>
        </w:rPr>
        <w:t>LGBTQ</w:t>
      </w:r>
      <w:r w:rsidR="00163FEC">
        <w:rPr>
          <w:rFonts w:ascii="Tw Cen MT" w:hAnsi="Tw Cen MT"/>
          <w:sz w:val="24"/>
          <w:szCs w:val="24"/>
        </w:rPr>
        <w:t>+</w:t>
      </w:r>
      <w:r w:rsidRPr="000677A0">
        <w:rPr>
          <w:rFonts w:ascii="Tw Cen MT" w:hAnsi="Tw Cen MT"/>
          <w:sz w:val="24"/>
          <w:szCs w:val="24"/>
        </w:rPr>
        <w:t xml:space="preserve"> students — it reflects how the institution feel</w:t>
      </w:r>
      <w:r w:rsidR="00F21B5C" w:rsidRPr="000677A0">
        <w:rPr>
          <w:rFonts w:ascii="Tw Cen MT" w:hAnsi="Tw Cen MT"/>
          <w:sz w:val="24"/>
          <w:szCs w:val="24"/>
        </w:rPr>
        <w:t>s</w:t>
      </w:r>
      <w:r w:rsidRPr="000677A0">
        <w:rPr>
          <w:rFonts w:ascii="Tw Cen MT" w:hAnsi="Tw Cen MT"/>
          <w:sz w:val="24"/>
          <w:szCs w:val="24"/>
        </w:rPr>
        <w:t xml:space="preserve"> about the rights and protections afforded to </w:t>
      </w:r>
      <w:r w:rsidR="00741DE9" w:rsidRPr="000677A0">
        <w:rPr>
          <w:rFonts w:ascii="Tw Cen MT" w:hAnsi="Tw Cen MT"/>
          <w:sz w:val="24"/>
          <w:szCs w:val="24"/>
        </w:rPr>
        <w:t>LGBTQ</w:t>
      </w:r>
      <w:r w:rsidR="00163FEC">
        <w:rPr>
          <w:rFonts w:ascii="Tw Cen MT" w:hAnsi="Tw Cen MT"/>
          <w:sz w:val="24"/>
          <w:szCs w:val="24"/>
        </w:rPr>
        <w:t>+</w:t>
      </w:r>
      <w:r w:rsidRPr="000677A0">
        <w:rPr>
          <w:rFonts w:ascii="Tw Cen MT" w:hAnsi="Tw Cen MT"/>
          <w:sz w:val="24"/>
          <w:szCs w:val="24"/>
        </w:rPr>
        <w:t xml:space="preserve"> individuals. Do they offer domestic partner benefits? Is there an employee resource group? </w:t>
      </w:r>
      <w:bookmarkStart w:id="12" w:name="_Toc451516201"/>
    </w:p>
    <w:p w14:paraId="7B3E01E1" w14:textId="5E9E6B0D" w:rsidR="00F21B5C" w:rsidRPr="000677A0" w:rsidRDefault="00F21B5C" w:rsidP="00F21B5C">
      <w:pPr>
        <w:pStyle w:val="NormalWeb"/>
        <w:spacing w:after="0" w:line="240" w:lineRule="auto"/>
        <w:jc w:val="left"/>
        <w:rPr>
          <w:rStyle w:val="Strong"/>
          <w:rFonts w:ascii="Tw Cen MT" w:hAnsi="Tw Cen MT"/>
          <w:b w:val="0"/>
          <w:bCs w:val="0"/>
          <w:sz w:val="24"/>
          <w:szCs w:val="24"/>
        </w:rPr>
      </w:pPr>
    </w:p>
    <w:p w14:paraId="14DB165E" w14:textId="7BD450E4" w:rsidR="00945A8B" w:rsidRPr="0021572A" w:rsidRDefault="00945A8B" w:rsidP="00704FC6">
      <w:pPr>
        <w:pStyle w:val="Heading3"/>
        <w:rPr>
          <w:rStyle w:val="Strong"/>
          <w:rFonts w:ascii="Tw Cen MT" w:hAnsi="Tw Cen MT"/>
          <w:b w:val="0"/>
          <w:bCs w:val="0"/>
          <w:sz w:val="28"/>
        </w:rPr>
      </w:pPr>
      <w:bookmarkStart w:id="13" w:name="_Toc451857735"/>
      <w:r w:rsidRPr="0021572A">
        <w:rPr>
          <w:rStyle w:val="Strong"/>
          <w:rFonts w:ascii="Tw Cen MT" w:hAnsi="Tw Cen MT"/>
          <w:b w:val="0"/>
          <w:sz w:val="28"/>
        </w:rPr>
        <w:t>LGBTQ</w:t>
      </w:r>
      <w:r w:rsidR="00163FEC">
        <w:rPr>
          <w:rStyle w:val="Strong"/>
          <w:rFonts w:ascii="Tw Cen MT" w:hAnsi="Tw Cen MT"/>
          <w:b w:val="0"/>
          <w:sz w:val="28"/>
        </w:rPr>
        <w:t>+</w:t>
      </w:r>
      <w:r w:rsidRPr="0021572A">
        <w:rPr>
          <w:rStyle w:val="Strong"/>
          <w:rFonts w:ascii="Tw Cen MT" w:hAnsi="Tw Cen MT"/>
          <w:b w:val="0"/>
          <w:sz w:val="28"/>
        </w:rPr>
        <w:t xml:space="preserve"> Resources on Campus</w:t>
      </w:r>
      <w:bookmarkEnd w:id="12"/>
      <w:bookmarkEnd w:id="13"/>
    </w:p>
    <w:p w14:paraId="33F5D0EB" w14:textId="6CD66D05" w:rsidR="00FF79CD" w:rsidRPr="0021572A" w:rsidRDefault="00945A8B" w:rsidP="00F21B5C">
      <w:pPr>
        <w:pStyle w:val="NormalWeb"/>
        <w:spacing w:after="0"/>
        <w:jc w:val="left"/>
        <w:rPr>
          <w:rFonts w:ascii="Tw Cen MT" w:hAnsi="Tw Cen MT"/>
          <w:b/>
          <w:sz w:val="6"/>
        </w:rPr>
      </w:pPr>
      <w:r w:rsidRPr="0021572A">
        <w:rPr>
          <w:rFonts w:ascii="Tw Cen MT" w:hAnsi="Tw Cen MT"/>
          <w:sz w:val="24"/>
          <w:szCs w:val="20"/>
        </w:rPr>
        <w:t>One way that colleges and universities</w:t>
      </w:r>
      <w:r w:rsidR="0025631A" w:rsidRPr="0021572A">
        <w:rPr>
          <w:rFonts w:ascii="Tw Cen MT" w:hAnsi="Tw Cen MT"/>
          <w:sz w:val="24"/>
          <w:szCs w:val="20"/>
        </w:rPr>
        <w:t xml:space="preserve"> can provide </w:t>
      </w:r>
      <w:r w:rsidRPr="0021572A">
        <w:rPr>
          <w:rFonts w:ascii="Tw Cen MT" w:hAnsi="Tw Cen MT"/>
          <w:sz w:val="24"/>
          <w:szCs w:val="20"/>
        </w:rPr>
        <w:t xml:space="preserve">support </w:t>
      </w:r>
      <w:r w:rsidR="0025631A" w:rsidRPr="0021572A">
        <w:rPr>
          <w:rFonts w:ascii="Tw Cen MT" w:hAnsi="Tw Cen MT"/>
          <w:sz w:val="24"/>
          <w:szCs w:val="20"/>
        </w:rPr>
        <w:t xml:space="preserve">is through </w:t>
      </w:r>
      <w:r w:rsidRPr="0021572A">
        <w:rPr>
          <w:rFonts w:ascii="Tw Cen MT" w:hAnsi="Tw Cen MT"/>
          <w:sz w:val="24"/>
          <w:szCs w:val="20"/>
        </w:rPr>
        <w:t>LGBTQ</w:t>
      </w:r>
      <w:r w:rsidR="00163FEC">
        <w:rPr>
          <w:rFonts w:ascii="Tw Cen MT" w:hAnsi="Tw Cen MT"/>
          <w:sz w:val="24"/>
          <w:szCs w:val="20"/>
        </w:rPr>
        <w:t>+</w:t>
      </w:r>
      <w:r w:rsidRPr="0021572A">
        <w:rPr>
          <w:rFonts w:ascii="Tw Cen MT" w:hAnsi="Tw Cen MT"/>
          <w:sz w:val="24"/>
          <w:szCs w:val="20"/>
        </w:rPr>
        <w:t xml:space="preserve"> student groups and resource centers.</w:t>
      </w:r>
      <w:r w:rsidR="00FF79CD" w:rsidRPr="0021572A">
        <w:rPr>
          <w:rFonts w:ascii="Tw Cen MT" w:hAnsi="Tw Cen MT"/>
          <w:sz w:val="24"/>
          <w:szCs w:val="20"/>
        </w:rPr>
        <w:t xml:space="preserve"> </w:t>
      </w:r>
      <w:r w:rsidR="0025631A" w:rsidRPr="0021572A">
        <w:rPr>
          <w:rFonts w:ascii="Tw Cen MT" w:hAnsi="Tw Cen MT"/>
          <w:sz w:val="24"/>
        </w:rPr>
        <w:t>H</w:t>
      </w:r>
      <w:r w:rsidR="00FF79CD" w:rsidRPr="0021572A">
        <w:rPr>
          <w:rFonts w:ascii="Tw Cen MT" w:hAnsi="Tw Cen MT"/>
          <w:sz w:val="24"/>
        </w:rPr>
        <w:t xml:space="preserve">elp students assess </w:t>
      </w:r>
      <w:r w:rsidR="00163FEC">
        <w:rPr>
          <w:rFonts w:ascii="Tw Cen MT" w:hAnsi="Tw Cen MT"/>
          <w:sz w:val="24"/>
        </w:rPr>
        <w:t>LGBTQ+</w:t>
      </w:r>
      <w:r w:rsidRPr="0021572A">
        <w:rPr>
          <w:rFonts w:ascii="Tw Cen MT" w:hAnsi="Tw Cen MT"/>
          <w:sz w:val="24"/>
        </w:rPr>
        <w:t xml:space="preserve"> </w:t>
      </w:r>
      <w:r w:rsidR="00FF79CD" w:rsidRPr="0021572A">
        <w:rPr>
          <w:rFonts w:ascii="Tw Cen MT" w:hAnsi="Tw Cen MT"/>
          <w:sz w:val="24"/>
        </w:rPr>
        <w:t>r</w:t>
      </w:r>
      <w:r w:rsidRPr="0021572A">
        <w:rPr>
          <w:rFonts w:ascii="Tw Cen MT" w:hAnsi="Tw Cen MT"/>
          <w:sz w:val="24"/>
        </w:rPr>
        <w:t>esources</w:t>
      </w:r>
      <w:r w:rsidR="0025631A" w:rsidRPr="0021572A">
        <w:rPr>
          <w:rFonts w:ascii="Tw Cen MT" w:hAnsi="Tw Cen MT"/>
          <w:sz w:val="24"/>
        </w:rPr>
        <w:t xml:space="preserve"> at an institution</w:t>
      </w:r>
      <w:r w:rsidR="00FF79CD" w:rsidRPr="0021572A">
        <w:rPr>
          <w:rFonts w:ascii="Tw Cen MT" w:hAnsi="Tw Cen MT"/>
          <w:sz w:val="24"/>
        </w:rPr>
        <w:t xml:space="preserve"> by having </w:t>
      </w:r>
      <w:r w:rsidR="0025631A" w:rsidRPr="0021572A">
        <w:rPr>
          <w:rFonts w:ascii="Tw Cen MT" w:hAnsi="Tw Cen MT"/>
          <w:sz w:val="24"/>
        </w:rPr>
        <w:t>students</w:t>
      </w:r>
      <w:r w:rsidR="00FF79CD" w:rsidRPr="0021572A">
        <w:rPr>
          <w:rFonts w:ascii="Tw Cen MT" w:hAnsi="Tw Cen MT"/>
          <w:sz w:val="24"/>
        </w:rPr>
        <w:t xml:space="preserve"> research these questions</w:t>
      </w:r>
      <w:r w:rsidR="0025631A" w:rsidRPr="0021572A">
        <w:rPr>
          <w:rFonts w:ascii="Tw Cen MT" w:hAnsi="Tw Cen MT"/>
          <w:sz w:val="24"/>
        </w:rPr>
        <w:t>:</w:t>
      </w:r>
    </w:p>
    <w:p w14:paraId="785C86C2" w14:textId="48DD7DE7" w:rsidR="00945A8B" w:rsidRPr="0021572A" w:rsidRDefault="00945A8B" w:rsidP="00F21B5C">
      <w:pPr>
        <w:pStyle w:val="ListParagraph"/>
        <w:numPr>
          <w:ilvl w:val="0"/>
          <w:numId w:val="11"/>
        </w:numPr>
        <w:tabs>
          <w:tab w:val="left" w:pos="450"/>
        </w:tabs>
        <w:rPr>
          <w:rFonts w:ascii="Tw Cen MT" w:hAnsi="Tw Cen MT"/>
          <w:sz w:val="24"/>
        </w:rPr>
      </w:pPr>
      <w:r w:rsidRPr="0021572A">
        <w:rPr>
          <w:rFonts w:ascii="Tw Cen MT" w:hAnsi="Tw Cen MT"/>
          <w:sz w:val="24"/>
        </w:rPr>
        <w:t>Does the school have a</w:t>
      </w:r>
      <w:r w:rsidR="00F21B5C" w:rsidRPr="0021572A">
        <w:rPr>
          <w:rFonts w:ascii="Tw Cen MT" w:hAnsi="Tw Cen MT"/>
          <w:sz w:val="24"/>
        </w:rPr>
        <w:t>n</w:t>
      </w:r>
      <w:r w:rsidRPr="0021572A">
        <w:rPr>
          <w:rFonts w:ascii="Tw Cen MT" w:hAnsi="Tw Cen MT"/>
          <w:sz w:val="24"/>
        </w:rPr>
        <w:t xml:space="preserve"> employee </w:t>
      </w:r>
      <w:r w:rsidR="00B269E8" w:rsidRPr="0021572A">
        <w:rPr>
          <w:rFonts w:ascii="Tw Cen MT" w:hAnsi="Tw Cen MT"/>
          <w:sz w:val="24"/>
        </w:rPr>
        <w:t>to</w:t>
      </w:r>
      <w:r w:rsidR="002C762B" w:rsidRPr="0021572A">
        <w:rPr>
          <w:rFonts w:ascii="Tw Cen MT" w:hAnsi="Tw Cen MT"/>
          <w:sz w:val="24"/>
        </w:rPr>
        <w:t xml:space="preserve"> </w:t>
      </w:r>
      <w:r w:rsidR="00B269E8" w:rsidRPr="0021572A">
        <w:rPr>
          <w:rFonts w:ascii="Tw Cen MT" w:hAnsi="Tw Cen MT"/>
          <w:sz w:val="24"/>
        </w:rPr>
        <w:t>provide</w:t>
      </w:r>
      <w:r w:rsidRPr="0021572A">
        <w:rPr>
          <w:rFonts w:ascii="Tw Cen MT" w:hAnsi="Tw Cen MT"/>
          <w:sz w:val="24"/>
        </w:rPr>
        <w:t xml:space="preserve"> resources and services to </w:t>
      </w:r>
      <w:r w:rsidR="00163FEC">
        <w:rPr>
          <w:rFonts w:ascii="Tw Cen MT" w:hAnsi="Tw Cen MT"/>
          <w:sz w:val="24"/>
        </w:rPr>
        <w:t>LGBTQ+</w:t>
      </w:r>
      <w:r w:rsidRPr="0021572A">
        <w:rPr>
          <w:rFonts w:ascii="Tw Cen MT" w:hAnsi="Tw Cen MT"/>
          <w:sz w:val="24"/>
        </w:rPr>
        <w:t xml:space="preserve"> students?</w:t>
      </w:r>
    </w:p>
    <w:p w14:paraId="10AAB3F2" w14:textId="208F22DE" w:rsidR="00945A8B" w:rsidRPr="0021572A" w:rsidRDefault="00945A8B" w:rsidP="00F21B5C">
      <w:pPr>
        <w:pStyle w:val="ListParagraph"/>
        <w:numPr>
          <w:ilvl w:val="0"/>
          <w:numId w:val="11"/>
        </w:numPr>
        <w:tabs>
          <w:tab w:val="left" w:pos="450"/>
        </w:tabs>
        <w:rPr>
          <w:rFonts w:ascii="Tw Cen MT" w:hAnsi="Tw Cen MT"/>
          <w:sz w:val="24"/>
        </w:rPr>
      </w:pPr>
      <w:r w:rsidRPr="0021572A">
        <w:rPr>
          <w:rFonts w:ascii="Tw Cen MT" w:hAnsi="Tw Cen MT"/>
          <w:sz w:val="24"/>
        </w:rPr>
        <w:t xml:space="preserve">Is there an </w:t>
      </w:r>
      <w:r w:rsidR="00163FEC">
        <w:rPr>
          <w:rFonts w:ascii="Tw Cen MT" w:hAnsi="Tw Cen MT"/>
          <w:sz w:val="24"/>
        </w:rPr>
        <w:t>LGBTQ+</w:t>
      </w:r>
      <w:r w:rsidRPr="0021572A">
        <w:rPr>
          <w:rFonts w:ascii="Tw Cen MT" w:hAnsi="Tw Cen MT"/>
          <w:sz w:val="24"/>
        </w:rPr>
        <w:t xml:space="preserve"> center on the campus?</w:t>
      </w:r>
    </w:p>
    <w:p w14:paraId="7FC5FAF1" w14:textId="559CCCE8" w:rsidR="00945A8B" w:rsidRPr="0021572A" w:rsidRDefault="00945A8B" w:rsidP="00F21B5C">
      <w:pPr>
        <w:pStyle w:val="ListParagraph"/>
        <w:numPr>
          <w:ilvl w:val="0"/>
          <w:numId w:val="11"/>
        </w:numPr>
        <w:tabs>
          <w:tab w:val="left" w:pos="450"/>
        </w:tabs>
        <w:rPr>
          <w:rFonts w:ascii="Tw Cen MT" w:hAnsi="Tw Cen MT"/>
          <w:sz w:val="24"/>
        </w:rPr>
      </w:pPr>
      <w:r w:rsidRPr="0021572A">
        <w:rPr>
          <w:rFonts w:ascii="Tw Cen MT" w:hAnsi="Tw Cen MT"/>
          <w:sz w:val="24"/>
        </w:rPr>
        <w:lastRenderedPageBreak/>
        <w:t xml:space="preserve">Is there </w:t>
      </w:r>
      <w:r w:rsidR="00B269E8" w:rsidRPr="0021572A">
        <w:rPr>
          <w:rFonts w:ascii="Tw Cen MT" w:hAnsi="Tw Cen MT"/>
          <w:sz w:val="24"/>
        </w:rPr>
        <w:t>one or more</w:t>
      </w:r>
      <w:r w:rsidRPr="0021572A">
        <w:rPr>
          <w:rFonts w:ascii="Tw Cen MT" w:hAnsi="Tw Cen MT"/>
          <w:sz w:val="24"/>
        </w:rPr>
        <w:t xml:space="preserve"> </w:t>
      </w:r>
      <w:r w:rsidR="00163FEC">
        <w:rPr>
          <w:rFonts w:ascii="Tw Cen MT" w:hAnsi="Tw Cen MT"/>
          <w:sz w:val="24"/>
        </w:rPr>
        <w:t>LGBTQ+</w:t>
      </w:r>
      <w:r w:rsidRPr="0021572A">
        <w:rPr>
          <w:rFonts w:ascii="Tw Cen MT" w:hAnsi="Tw Cen MT"/>
          <w:sz w:val="24"/>
        </w:rPr>
        <w:t xml:space="preserve"> student group</w:t>
      </w:r>
      <w:r w:rsidR="00B269E8" w:rsidRPr="0021572A">
        <w:rPr>
          <w:rFonts w:ascii="Tw Cen MT" w:hAnsi="Tw Cen MT"/>
          <w:sz w:val="24"/>
        </w:rPr>
        <w:t>s</w:t>
      </w:r>
      <w:r w:rsidRPr="0021572A">
        <w:rPr>
          <w:rFonts w:ascii="Tw Cen MT" w:hAnsi="Tw Cen MT"/>
          <w:sz w:val="24"/>
        </w:rPr>
        <w:t xml:space="preserve"> or organization</w:t>
      </w:r>
      <w:r w:rsidR="00B269E8" w:rsidRPr="0021572A">
        <w:rPr>
          <w:rFonts w:ascii="Tw Cen MT" w:hAnsi="Tw Cen MT"/>
          <w:sz w:val="24"/>
        </w:rPr>
        <w:t>s</w:t>
      </w:r>
      <w:r w:rsidRPr="0021572A">
        <w:rPr>
          <w:rFonts w:ascii="Tw Cen MT" w:hAnsi="Tw Cen MT"/>
          <w:sz w:val="24"/>
        </w:rPr>
        <w:t xml:space="preserve"> that acknowledge the diversity of the </w:t>
      </w:r>
      <w:r w:rsidR="00163FEC">
        <w:rPr>
          <w:rFonts w:ascii="Tw Cen MT" w:hAnsi="Tw Cen MT"/>
          <w:sz w:val="24"/>
        </w:rPr>
        <w:t>LGBTQ+</w:t>
      </w:r>
      <w:r w:rsidRPr="0021572A">
        <w:rPr>
          <w:rFonts w:ascii="Tw Cen MT" w:hAnsi="Tw Cen MT"/>
          <w:sz w:val="24"/>
        </w:rPr>
        <w:t xml:space="preserve"> community? For example, some schools have groups dedicated to transgender students or </w:t>
      </w:r>
      <w:r w:rsidR="00163FEC">
        <w:rPr>
          <w:rFonts w:ascii="Tw Cen MT" w:hAnsi="Tw Cen MT"/>
          <w:sz w:val="24"/>
        </w:rPr>
        <w:t>LGBTQ+</w:t>
      </w:r>
      <w:r w:rsidRPr="0021572A">
        <w:rPr>
          <w:rFonts w:ascii="Tw Cen MT" w:hAnsi="Tw Cen MT"/>
          <w:sz w:val="24"/>
        </w:rPr>
        <w:t xml:space="preserve"> students of color, while others have one group broadly dedicated to the </w:t>
      </w:r>
      <w:r w:rsidR="00163FEC">
        <w:rPr>
          <w:rFonts w:ascii="Tw Cen MT" w:hAnsi="Tw Cen MT"/>
          <w:sz w:val="24"/>
        </w:rPr>
        <w:t>LGBTQ+</w:t>
      </w:r>
      <w:r w:rsidRPr="0021572A">
        <w:rPr>
          <w:rFonts w:ascii="Tw Cen MT" w:hAnsi="Tw Cen MT"/>
          <w:sz w:val="24"/>
        </w:rPr>
        <w:t xml:space="preserve"> population.</w:t>
      </w:r>
    </w:p>
    <w:p w14:paraId="731E146F" w14:textId="09DEB066" w:rsidR="002C762B" w:rsidRPr="0021572A" w:rsidRDefault="002C762B" w:rsidP="002C762B">
      <w:pPr>
        <w:pStyle w:val="ListParagraph"/>
        <w:numPr>
          <w:ilvl w:val="0"/>
          <w:numId w:val="11"/>
        </w:numPr>
        <w:tabs>
          <w:tab w:val="left" w:pos="450"/>
        </w:tabs>
        <w:rPr>
          <w:rFonts w:ascii="Tw Cen MT" w:hAnsi="Tw Cen MT"/>
          <w:sz w:val="24"/>
        </w:rPr>
      </w:pPr>
      <w:r w:rsidRPr="0021572A">
        <w:rPr>
          <w:rFonts w:ascii="Tw Cen MT" w:hAnsi="Tw Cen MT"/>
          <w:sz w:val="24"/>
        </w:rPr>
        <w:t xml:space="preserve">Does the school offer health and counseling services </w:t>
      </w:r>
      <w:proofErr w:type="gramStart"/>
      <w:r w:rsidRPr="0021572A">
        <w:rPr>
          <w:rFonts w:ascii="Tw Cen MT" w:hAnsi="Tw Cen MT"/>
          <w:sz w:val="24"/>
        </w:rPr>
        <w:t>designed</w:t>
      </w:r>
      <w:proofErr w:type="gramEnd"/>
      <w:r w:rsidRPr="0021572A">
        <w:rPr>
          <w:rFonts w:ascii="Tw Cen MT" w:hAnsi="Tw Cen MT"/>
          <w:sz w:val="24"/>
        </w:rPr>
        <w:t xml:space="preserve"> for </w:t>
      </w:r>
      <w:r w:rsidR="00163FEC">
        <w:rPr>
          <w:rFonts w:ascii="Tw Cen MT" w:hAnsi="Tw Cen MT"/>
          <w:sz w:val="24"/>
        </w:rPr>
        <w:t>LGBTQ+</w:t>
      </w:r>
      <w:r w:rsidRPr="0021572A">
        <w:rPr>
          <w:rFonts w:ascii="Tw Cen MT" w:hAnsi="Tw Cen MT"/>
          <w:sz w:val="24"/>
        </w:rPr>
        <w:t xml:space="preserve"> students?</w:t>
      </w:r>
    </w:p>
    <w:p w14:paraId="6938D9F2" w14:textId="4FD03CAC" w:rsidR="00945A8B" w:rsidRPr="0021572A" w:rsidRDefault="00945A8B" w:rsidP="00945A8B">
      <w:pPr>
        <w:pStyle w:val="ListParagraph"/>
        <w:numPr>
          <w:ilvl w:val="0"/>
          <w:numId w:val="11"/>
        </w:numPr>
        <w:tabs>
          <w:tab w:val="left" w:pos="450"/>
        </w:tabs>
        <w:rPr>
          <w:rFonts w:ascii="Tw Cen MT" w:hAnsi="Tw Cen MT"/>
          <w:sz w:val="24"/>
        </w:rPr>
      </w:pPr>
      <w:r w:rsidRPr="0021572A">
        <w:rPr>
          <w:rFonts w:ascii="Tw Cen MT" w:hAnsi="Tw Cen MT"/>
          <w:sz w:val="24"/>
        </w:rPr>
        <w:t xml:space="preserve">What kind of events does the campus </w:t>
      </w:r>
      <w:r w:rsidR="00163FEC">
        <w:rPr>
          <w:rFonts w:ascii="Tw Cen MT" w:hAnsi="Tw Cen MT"/>
          <w:sz w:val="24"/>
        </w:rPr>
        <w:t>LGBTQ+</w:t>
      </w:r>
      <w:r w:rsidRPr="0021572A">
        <w:rPr>
          <w:rFonts w:ascii="Tw Cen MT" w:hAnsi="Tw Cen MT"/>
          <w:sz w:val="24"/>
        </w:rPr>
        <w:t xml:space="preserve"> group or center sponsor? Groups may be aimed towards activism and advocacy, wh</w:t>
      </w:r>
      <w:r w:rsidR="00B269E8" w:rsidRPr="0021572A">
        <w:rPr>
          <w:rFonts w:ascii="Tw Cen MT" w:hAnsi="Tw Cen MT"/>
          <w:sz w:val="24"/>
        </w:rPr>
        <w:t>ile</w:t>
      </w:r>
      <w:r w:rsidRPr="0021572A">
        <w:rPr>
          <w:rFonts w:ascii="Tw Cen MT" w:hAnsi="Tw Cen MT"/>
          <w:sz w:val="24"/>
        </w:rPr>
        <w:t xml:space="preserve"> some organizations tend to be more interested in providing social opportunities for the </w:t>
      </w:r>
      <w:r w:rsidR="00163FEC">
        <w:rPr>
          <w:rFonts w:ascii="Tw Cen MT" w:hAnsi="Tw Cen MT"/>
          <w:sz w:val="24"/>
        </w:rPr>
        <w:t>LGBTQ+</w:t>
      </w:r>
      <w:r w:rsidRPr="0021572A">
        <w:rPr>
          <w:rFonts w:ascii="Tw Cen MT" w:hAnsi="Tw Cen MT"/>
          <w:sz w:val="24"/>
        </w:rPr>
        <w:t xml:space="preserve"> community.</w:t>
      </w:r>
    </w:p>
    <w:p w14:paraId="450E166B" w14:textId="2E18530D" w:rsidR="00945A8B" w:rsidRPr="0021572A" w:rsidRDefault="00945A8B" w:rsidP="0021572A">
      <w:pPr>
        <w:pStyle w:val="ListParagraph"/>
        <w:numPr>
          <w:ilvl w:val="0"/>
          <w:numId w:val="11"/>
        </w:numPr>
        <w:tabs>
          <w:tab w:val="left" w:pos="450"/>
        </w:tabs>
        <w:spacing w:after="240"/>
        <w:rPr>
          <w:rFonts w:ascii="Tw Cen MT" w:hAnsi="Tw Cen MT"/>
          <w:sz w:val="24"/>
        </w:rPr>
      </w:pPr>
      <w:r w:rsidRPr="0021572A">
        <w:rPr>
          <w:rFonts w:ascii="Tw Cen MT" w:hAnsi="Tw Cen MT"/>
          <w:sz w:val="24"/>
        </w:rPr>
        <w:t xml:space="preserve">How many events did the campus </w:t>
      </w:r>
      <w:r w:rsidR="00163FEC">
        <w:rPr>
          <w:rFonts w:ascii="Tw Cen MT" w:hAnsi="Tw Cen MT"/>
          <w:sz w:val="24"/>
        </w:rPr>
        <w:t>LGBTQ+</w:t>
      </w:r>
      <w:r w:rsidRPr="0021572A">
        <w:rPr>
          <w:rFonts w:ascii="Tw Cen MT" w:hAnsi="Tw Cen MT"/>
          <w:sz w:val="24"/>
        </w:rPr>
        <w:t xml:space="preserve"> group or center hold last year? How many people attended? With student-run groups especially, it is usually good to check to see if they are an active organization.</w:t>
      </w:r>
    </w:p>
    <w:p w14:paraId="47EC875D" w14:textId="77777777" w:rsidR="00FA5CC4" w:rsidRPr="00704FC6" w:rsidRDefault="00295F6E" w:rsidP="00FA5CC4">
      <w:pPr>
        <w:tabs>
          <w:tab w:val="left" w:pos="450"/>
        </w:tabs>
        <w:rPr>
          <w:rFonts w:ascii="Tw Cen MT" w:hAnsi="Tw Cen MT"/>
          <w:sz w:val="20"/>
        </w:rPr>
      </w:pPr>
      <w:r w:rsidRPr="00704FC6">
        <w:rPr>
          <w:rFonts w:ascii="Tw Cen MT" w:hAnsi="Tw Cen MT"/>
          <w:noProof/>
          <w:sz w:val="20"/>
          <w:szCs w:val="20"/>
        </w:rPr>
        <mc:AlternateContent>
          <mc:Choice Requires="wps">
            <w:drawing>
              <wp:inline distT="0" distB="0" distL="0" distR="0" wp14:anchorId="2817F54A" wp14:editId="274BC802">
                <wp:extent cx="5943600" cy="4988560"/>
                <wp:effectExtent l="0" t="0" r="19050" b="21590"/>
                <wp:docPr id="9" name="Rectangle 9"/>
                <wp:cNvGraphicFramePr/>
                <a:graphic xmlns:a="http://schemas.openxmlformats.org/drawingml/2006/main">
                  <a:graphicData uri="http://schemas.microsoft.com/office/word/2010/wordprocessingShape">
                    <wps:wsp>
                      <wps:cNvSpPr/>
                      <wps:spPr>
                        <a:xfrm>
                          <a:off x="0" y="0"/>
                          <a:ext cx="5943600" cy="4988560"/>
                        </a:xfrm>
                        <a:prstGeom prst="rect">
                          <a:avLst/>
                        </a:prstGeom>
                        <a:solidFill>
                          <a:sysClr val="window" lastClr="FFFFFF"/>
                        </a:solidFill>
                        <a:ln w="25400" cap="flat" cmpd="sng" algn="ctr">
                          <a:solidFill>
                            <a:schemeClr val="bg1">
                              <a:lumMod val="75000"/>
                            </a:schemeClr>
                          </a:solidFill>
                          <a:prstDash val="solid"/>
                        </a:ln>
                        <a:effectLst/>
                      </wps:spPr>
                      <wps:txbx>
                        <w:txbxContent>
                          <w:p w14:paraId="6C6C868D" w14:textId="19B7A177" w:rsidR="009C01EA" w:rsidRPr="000677A0" w:rsidRDefault="009C01EA" w:rsidP="000677A0">
                            <w:pPr>
                              <w:pStyle w:val="Heading2"/>
                              <w:pBdr>
                                <w:bottom w:val="single" w:sz="18" w:space="1" w:color="92278F" w:themeColor="accent1"/>
                              </w:pBdr>
                              <w:rPr>
                                <w:b/>
                              </w:rPr>
                            </w:pPr>
                            <w:bookmarkStart w:id="14" w:name="_Toc450201035"/>
                            <w:r w:rsidRPr="000677A0">
                              <w:t>RESOURCE: Campus Pride Trans Policy Clearinghouse</w:t>
                            </w:r>
                            <w:bookmarkEnd w:id="14"/>
                          </w:p>
                          <w:p w14:paraId="1A72B248" w14:textId="788246D0" w:rsidR="009C01EA" w:rsidRPr="0021572A" w:rsidRDefault="009C01EA" w:rsidP="00295F6E">
                            <w:pPr>
                              <w:pStyle w:val="NormalWeb"/>
                              <w:jc w:val="left"/>
                              <w:rPr>
                                <w:rFonts w:asciiTheme="minorHAnsi" w:hAnsiTheme="minorHAnsi"/>
                                <w:color w:val="000000" w:themeColor="text1"/>
                                <w:sz w:val="24"/>
                                <w:szCs w:val="24"/>
                              </w:rPr>
                            </w:pPr>
                            <w:r w:rsidRPr="0021572A">
                              <w:rPr>
                                <w:rFonts w:asciiTheme="minorHAnsi" w:hAnsiTheme="minorHAnsi"/>
                                <w:color w:val="000000" w:themeColor="text1"/>
                                <w:sz w:val="24"/>
                                <w:szCs w:val="24"/>
                              </w:rPr>
                              <w:t xml:space="preserve">Are you a prospective student wondering what campuses have gender-inclusive housing? An administrator researching trans-inclusive health insurance models to implement on your </w:t>
                            </w:r>
                            <w:r w:rsidRPr="0021572A">
                              <w:rPr>
                                <w:rFonts w:asciiTheme="minorHAnsi" w:hAnsiTheme="minorHAnsi"/>
                                <w:color w:val="000000" w:themeColor="text1"/>
                                <w:sz w:val="24"/>
                                <w:szCs w:val="24"/>
                              </w:rPr>
                              <w:t xml:space="preserve">campus? A parent looking for trans-friendly colleges and universities for your child? The Campus Pride Trans Policy Clearinghouse is </w:t>
                            </w:r>
                            <w:r w:rsidR="0030692B" w:rsidRPr="0021572A">
                              <w:rPr>
                                <w:rFonts w:asciiTheme="minorHAnsi" w:hAnsiTheme="minorHAnsi"/>
                                <w:color w:val="000000" w:themeColor="text1"/>
                                <w:sz w:val="24"/>
                                <w:szCs w:val="24"/>
                              </w:rPr>
                              <w:t>a</w:t>
                            </w:r>
                            <w:r w:rsidRPr="0021572A">
                              <w:rPr>
                                <w:rFonts w:asciiTheme="minorHAnsi" w:hAnsiTheme="minorHAnsi"/>
                                <w:color w:val="000000" w:themeColor="text1"/>
                                <w:sz w:val="24"/>
                                <w:szCs w:val="24"/>
                              </w:rPr>
                              <w:t xml:space="preserve"> resource for transgender policies at colleges and universities. The clearinghouse is updated regularly by Dr. Genny </w:t>
                            </w:r>
                            <w:r w:rsidRPr="0021572A">
                              <w:rPr>
                                <w:rFonts w:asciiTheme="minorHAnsi" w:hAnsiTheme="minorHAnsi"/>
                                <w:color w:val="000000" w:themeColor="text1"/>
                                <w:sz w:val="24"/>
                                <w:szCs w:val="24"/>
                              </w:rPr>
                              <w:t>Beemyn, a noted scholar on trans issues in higher education and the Director of the University of Massachusetts Amherst’s Stonewall Center.</w:t>
                            </w:r>
                          </w:p>
                          <w:p w14:paraId="43D8CE59" w14:textId="4843FA5B" w:rsidR="00163FEC" w:rsidRPr="00163FEC" w:rsidRDefault="00163FEC" w:rsidP="00163FEC">
                            <w:pPr>
                              <w:rPr>
                                <w:color w:val="92278F" w:themeColor="accent1"/>
                                <w:sz w:val="24"/>
                              </w:rPr>
                            </w:pPr>
                            <w:r w:rsidRPr="00163FEC">
                              <w:rPr>
                                <w:color w:val="92278F" w:themeColor="accent1"/>
                                <w:sz w:val="24"/>
                              </w:rPr>
                              <w:t xml:space="preserve">You can search trans policies at colleges and universities across the United States (last modified </w:t>
                            </w:r>
                            <w:r w:rsidR="00E1255E">
                              <w:rPr>
                                <w:color w:val="92278F" w:themeColor="accent1"/>
                                <w:sz w:val="24"/>
                              </w:rPr>
                              <w:t>Feb. 2020</w:t>
                            </w:r>
                            <w:r w:rsidRPr="00163FEC">
                              <w:rPr>
                                <w:color w:val="92278F" w:themeColor="accent1"/>
                                <w:sz w:val="24"/>
                              </w:rPr>
                              <w:t>):</w:t>
                            </w:r>
                          </w:p>
                          <w:p w14:paraId="6F710F62" w14:textId="355F7448" w:rsidR="00163FEC" w:rsidRPr="00163FEC" w:rsidRDefault="00724167" w:rsidP="00163FEC">
                            <w:pPr>
                              <w:pStyle w:val="ListParagraph"/>
                              <w:numPr>
                                <w:ilvl w:val="0"/>
                                <w:numId w:val="39"/>
                              </w:numPr>
                              <w:rPr>
                                <w:rFonts w:ascii="Tw Cen MT" w:hAnsi="Tw Cen MT"/>
                                <w:sz w:val="24"/>
                              </w:rPr>
                            </w:pPr>
                            <w:hyperlink r:id="rId19" w:history="1">
                              <w:r w:rsidR="00163FEC" w:rsidRPr="00163FEC">
                                <w:rPr>
                                  <w:rStyle w:val="Hyperlink"/>
                                  <w:rFonts w:ascii="Tw Cen MT" w:hAnsi="Tw Cen MT"/>
                                  <w:sz w:val="24"/>
                                </w:rPr>
                                <w:t>Colleges and Universities with Nondiscrimination Policies that Include Gender Identity/Expression</w:t>
                              </w:r>
                            </w:hyperlink>
                          </w:p>
                          <w:p w14:paraId="0C262346" w14:textId="1DFFF1B7" w:rsidR="00163FEC" w:rsidRPr="00163FEC" w:rsidRDefault="00724167" w:rsidP="00163FEC">
                            <w:pPr>
                              <w:pStyle w:val="ListParagraph"/>
                              <w:numPr>
                                <w:ilvl w:val="0"/>
                                <w:numId w:val="39"/>
                              </w:numPr>
                              <w:rPr>
                                <w:rFonts w:ascii="Tw Cen MT" w:hAnsi="Tw Cen MT"/>
                                <w:sz w:val="24"/>
                              </w:rPr>
                            </w:pPr>
                            <w:hyperlink r:id="rId20" w:history="1">
                              <w:r w:rsidR="00163FEC" w:rsidRPr="00163FEC">
                                <w:rPr>
                                  <w:rStyle w:val="Hyperlink"/>
                                  <w:rFonts w:ascii="Tw Cen MT" w:hAnsi="Tw Cen MT"/>
                                  <w:sz w:val="24"/>
                                </w:rPr>
                                <w:t>Colleges and Universities that Cover Transition-Related Medical Expenses Under Student Health Insurance</w:t>
                              </w:r>
                            </w:hyperlink>
                          </w:p>
                          <w:p w14:paraId="51558CE9" w14:textId="4D2569E9" w:rsidR="00163FEC" w:rsidRPr="00163FEC" w:rsidRDefault="00724167" w:rsidP="00163FEC">
                            <w:pPr>
                              <w:pStyle w:val="ListParagraph"/>
                              <w:numPr>
                                <w:ilvl w:val="0"/>
                                <w:numId w:val="39"/>
                              </w:numPr>
                              <w:rPr>
                                <w:rFonts w:ascii="Tw Cen MT" w:hAnsi="Tw Cen MT"/>
                                <w:sz w:val="24"/>
                              </w:rPr>
                            </w:pPr>
                            <w:hyperlink r:id="rId21" w:history="1">
                              <w:r w:rsidR="00163FEC" w:rsidRPr="00163FEC">
                                <w:rPr>
                                  <w:rStyle w:val="Hyperlink"/>
                                  <w:rFonts w:ascii="Tw Cen MT" w:hAnsi="Tw Cen MT"/>
                                  <w:sz w:val="24"/>
                                </w:rPr>
                                <w:t>Colleges and Universities that Cover Transition-Related Medical Expenses Under Employee Health Insurance</w:t>
                              </w:r>
                            </w:hyperlink>
                          </w:p>
                          <w:p w14:paraId="6703406F" w14:textId="157485F7" w:rsidR="00163FEC" w:rsidRPr="00163FEC" w:rsidRDefault="00724167" w:rsidP="00163FEC">
                            <w:pPr>
                              <w:pStyle w:val="ListParagraph"/>
                              <w:numPr>
                                <w:ilvl w:val="0"/>
                                <w:numId w:val="39"/>
                              </w:numPr>
                              <w:rPr>
                                <w:rFonts w:ascii="Tw Cen MT" w:hAnsi="Tw Cen MT"/>
                                <w:sz w:val="24"/>
                              </w:rPr>
                            </w:pPr>
                            <w:hyperlink r:id="rId22" w:tooltip="Edit " w:history="1">
                              <w:r w:rsidR="00163FEC" w:rsidRPr="00163FEC">
                                <w:rPr>
                                  <w:rStyle w:val="Hyperlink"/>
                                  <w:rFonts w:ascii="Tw Cen MT" w:hAnsi="Tw Cen MT"/>
                                  <w:sz w:val="24"/>
                                </w:rPr>
                                <w:t>Colleges and Universities that Provide Gender-Inclusive Housing</w:t>
                              </w:r>
                            </w:hyperlink>
                          </w:p>
                          <w:p w14:paraId="46EDC9F4" w14:textId="77777777" w:rsidR="00163FEC" w:rsidRPr="00163FEC" w:rsidRDefault="00163FEC" w:rsidP="00163FEC">
                            <w:pPr>
                              <w:pStyle w:val="ListParagraph"/>
                              <w:numPr>
                                <w:ilvl w:val="0"/>
                                <w:numId w:val="39"/>
                              </w:numPr>
                              <w:rPr>
                                <w:rFonts w:ascii="Tw Cen MT" w:hAnsi="Tw Cen MT"/>
                                <w:sz w:val="24"/>
                              </w:rPr>
                            </w:pPr>
                            <w:r w:rsidRPr="00163FEC">
                              <w:rPr>
                                <w:rFonts w:ascii="Tw Cen MT" w:hAnsi="Tw Cen MT"/>
                                <w:sz w:val="24"/>
                              </w:rPr>
                              <w:t> </w:t>
                            </w:r>
                            <w:hyperlink r:id="rId23" w:history="1">
                              <w:r w:rsidRPr="00163FEC">
                                <w:rPr>
                                  <w:rStyle w:val="Hyperlink"/>
                                  <w:rFonts w:ascii="Tw Cen MT" w:hAnsi="Tw Cen MT"/>
                                  <w:sz w:val="24"/>
                                </w:rPr>
                                <w:t>Colleges and Universities that Allow Students to Change the Name and Gender on Campus Records and to Have Their Pronouns on Course Rosters</w:t>
                              </w:r>
                            </w:hyperlink>
                          </w:p>
                          <w:p w14:paraId="7471B488" w14:textId="0EEF11A3" w:rsidR="00163FEC" w:rsidRPr="00163FEC" w:rsidRDefault="00724167" w:rsidP="00163FEC">
                            <w:pPr>
                              <w:pStyle w:val="ListParagraph"/>
                              <w:numPr>
                                <w:ilvl w:val="0"/>
                                <w:numId w:val="39"/>
                              </w:numPr>
                              <w:rPr>
                                <w:rFonts w:ascii="Tw Cen MT" w:hAnsi="Tw Cen MT"/>
                                <w:sz w:val="24"/>
                              </w:rPr>
                            </w:pPr>
                            <w:hyperlink r:id="rId24" w:tooltip="Colleges and Universities with a Trans-Inclusive Intramural Athletic Policy" w:history="1">
                              <w:r w:rsidR="00163FEC" w:rsidRPr="00163FEC">
                                <w:rPr>
                                  <w:rStyle w:val="Hyperlink"/>
                                  <w:rFonts w:ascii="Tw Cen MT" w:hAnsi="Tw Cen MT"/>
                                  <w:sz w:val="24"/>
                                </w:rPr>
                                <w:t>Colleges and Universities with a Trans-Inclusive Intramural Athletic Policy</w:t>
                              </w:r>
                            </w:hyperlink>
                          </w:p>
                          <w:p w14:paraId="0FFA20EC" w14:textId="1F627F97" w:rsidR="00163FEC" w:rsidRPr="00163FEC" w:rsidRDefault="00724167" w:rsidP="00163FEC">
                            <w:pPr>
                              <w:pStyle w:val="ListParagraph"/>
                              <w:numPr>
                                <w:ilvl w:val="0"/>
                                <w:numId w:val="39"/>
                              </w:numPr>
                              <w:rPr>
                                <w:rFonts w:ascii="Tw Cen MT" w:hAnsi="Tw Cen MT"/>
                                <w:sz w:val="24"/>
                              </w:rPr>
                            </w:pPr>
                            <w:hyperlink r:id="rId25" w:tooltip="Colleges and Universities with LGBTQ Identity Questions as an Option on Admission Applications &amp; Enrollment Forms" w:history="1">
                              <w:r w:rsidR="00163FEC" w:rsidRPr="00163FEC">
                                <w:rPr>
                                  <w:rStyle w:val="Hyperlink"/>
                                  <w:rFonts w:ascii="Tw Cen MT" w:hAnsi="Tw Cen MT"/>
                                  <w:sz w:val="24"/>
                                </w:rPr>
                                <w:t>Colleges and Universities with LGBTQ Identity Questions as an Option on Admission Applications &amp; Enrollment Forms </w:t>
                              </w:r>
                            </w:hyperlink>
                          </w:p>
                          <w:p w14:paraId="697C82E3" w14:textId="1F41331C" w:rsidR="00163FEC" w:rsidRPr="00163FEC" w:rsidRDefault="00724167" w:rsidP="00163FEC">
                            <w:pPr>
                              <w:pStyle w:val="ListParagraph"/>
                              <w:numPr>
                                <w:ilvl w:val="0"/>
                                <w:numId w:val="39"/>
                              </w:numPr>
                              <w:rPr>
                                <w:rFonts w:ascii="Tw Cen MT" w:hAnsi="Tw Cen MT"/>
                                <w:sz w:val="24"/>
                              </w:rPr>
                            </w:pPr>
                            <w:hyperlink r:id="rId26" w:history="1">
                              <w:r w:rsidR="00163FEC" w:rsidRPr="00163FEC">
                                <w:rPr>
                                  <w:rStyle w:val="Hyperlink"/>
                                  <w:rFonts w:ascii="Tw Cen MT" w:hAnsi="Tw Cen MT"/>
                                  <w:sz w:val="24"/>
                                </w:rPr>
                                <w:t>Women’s Colleges with Trans-Inclusive Admissions Policies</w:t>
                              </w:r>
                            </w:hyperlink>
                          </w:p>
                          <w:p w14:paraId="7B082F1A" w14:textId="378724F6" w:rsidR="009C01EA" w:rsidRPr="00260A7E" w:rsidRDefault="009C01EA" w:rsidP="00260A7E">
                            <w:pPr>
                              <w:spacing w:after="100" w:afterAutospacing="1"/>
                              <w:jc w:val="right"/>
                              <w:rPr>
                                <w:rFonts w:eastAsia="Times New Roman" w:cs="Times New Roman"/>
                                <w:sz w:val="24"/>
                                <w:szCs w:val="24"/>
                              </w:rPr>
                            </w:pPr>
                            <w:r w:rsidRPr="00260A7E">
                              <w:rPr>
                                <w:rFonts w:eastAsia="Times New Roman" w:cs="Times New Roman"/>
                                <w:bCs/>
                                <w:sz w:val="20"/>
                                <w:szCs w:val="24"/>
                              </w:rPr>
                              <w:t>Source</w:t>
                            </w:r>
                            <w:r w:rsidR="00260A7E">
                              <w:rPr>
                                <w:rFonts w:eastAsia="Times New Roman" w:cs="Times New Roman"/>
                                <w:bCs/>
                                <w:sz w:val="20"/>
                                <w:szCs w:val="24"/>
                              </w:rPr>
                              <w:t>-</w:t>
                            </w:r>
                            <w:r w:rsidRPr="00260A7E">
                              <w:rPr>
                                <w:rFonts w:eastAsia="Times New Roman" w:cs="Times New Roman"/>
                                <w:bCs/>
                                <w:sz w:val="20"/>
                                <w:szCs w:val="24"/>
                              </w:rPr>
                              <w:t xml:space="preserve">Campus Pride </w:t>
                            </w:r>
                            <w:hyperlink r:id="rId27" w:history="1">
                              <w:r w:rsidR="00163FEC">
                                <w:rPr>
                                  <w:rStyle w:val="Hyperlink"/>
                                </w:rPr>
                                <w:t>https://www.campuspride.org/tpc/</w:t>
                              </w:r>
                            </w:hyperlink>
                          </w:p>
                          <w:p w14:paraId="0403F6B4" w14:textId="77777777" w:rsidR="009C01EA" w:rsidRPr="00471AB8" w:rsidRDefault="009C01EA" w:rsidP="00295F6E">
                            <w:pPr>
                              <w:pStyle w:val="NormalWeb"/>
                              <w:jc w:val="left"/>
                              <w:rPr>
                                <w:rFonts w:ascii="Century Gothic" w:hAnsi="Century Gothic"/>
                                <w:color w:val="000000" w:themeColor="text1"/>
                                <w:sz w:val="20"/>
                                <w:szCs w:val="20"/>
                              </w:rPr>
                            </w:pPr>
                          </w:p>
                          <w:p w14:paraId="271C0D6A" w14:textId="77777777" w:rsidR="009C01EA" w:rsidRDefault="009C01EA" w:rsidP="00295F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17F54A" id="Rectangle 9" o:spid="_x0000_s1028" style="width:468pt;height:392.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6FigIAACAFAAAOAAAAZHJzL2Uyb0RvYy54bWysVEtvGjEQvlfqf7B8bxYoJICyRCgRVaU0&#10;iZJUOQ9e70OyPa5t2KW/vmPvhrx6qsph8Xje33zj84tOK7aXzjdocj4+GXEmjcCiMVXOfz5uvsw5&#10;8wFMAQqNzPlBen6x+vzpvLVLOcEaVSEdoyDGL1ub8zoEu8wyL2qpwZ+glYaUJToNgURXZYWDlqJr&#10;lU1Go9OsRVdYh0J6T7dXvZKvUvyylCLclqWXgamcU20hfV36buM3W53DsnJg60YMZcA/VKGhMZT0&#10;GOoKArCdaz6E0o1w6LEMJwJ1hmXZCJl6oG7Go3fdPNRgZeqFwPH2CJP/f2HFzf7OsabI+YIzA5pG&#10;dE+ggamUZIsIT2v9kqwe7J0bJE/H2GtXOh3/qQvWJUgPR0hlF5igy9li+vV0RMgL0k0X8/nsNIGe&#10;vbhb58M3iZrFQ84dpU9Qwv7aB0pJps8mMZtH1RSbRqkkHPylcmwPNF5iRYEtZwp8oMucb9Iv9kAh&#10;3rgpw9qcT2bTVBkQ70oFgYrUlpDwpuIMVEWEFsGlWt54J3LKY95tNU42aqd/YNHXcjYbUeghc+Ry&#10;NP9YR+zrCnzdO6Ukg5MysT2ZGDzAEAfRQx9Podt2aW6T6BFvtlgcaJYOe5J7KzYNxb8mOO7AEatp&#10;CrSp4ZY+pUICAIcTZzW633+7j/ZENtJy1tKWEDi/duAkofzdEA0X4+k0rlUSprOzCQnutWb7WmN2&#10;+hJpUmN6E6xIx2gf1POxdKifaKHXMSupwAjK3Y9hEC5Dv730JAi5XiczWiUL4do8WBGDR+Qiso/d&#10;Ezg70CoQI2/weaNg+Y5dvW30NLjeBSybRL0XXGl4UaA1TGMcnoy456/lZPXysK3+AAAA//8DAFBL&#10;AwQUAAYACAAAACEADFK0ONoAAAAFAQAADwAAAGRycy9kb3ducmV2LnhtbEyPwU7DMBBE70j8g7VI&#10;3KjTItIQ4lRVEadKkSj07sbbJNReR7HbpH/PwgUuI41mNfO2WE3OigsOofOkYD5LQCDV3nTUKPj8&#10;eHvIQISoyWjrCRVcMcCqvL0pdG78SO942cVGcAmFXCtoY+xzKUPdotNh5nskzo5+cDqyHRppBj1y&#10;ubNykSSpdLojXmh1j5sW69Pu7BTYMft6tX6/lsux2ppjtU+raJW6v5vWLyAiTvHvGH7wGR1KZjr4&#10;M5kgrAJ+JP4qZ8+PKduDgmX2lIIsC/mfvvwGAAD//wMAUEsBAi0AFAAGAAgAAAAhALaDOJL+AAAA&#10;4QEAABMAAAAAAAAAAAAAAAAAAAAAAFtDb250ZW50X1R5cGVzXS54bWxQSwECLQAUAAYACAAAACEA&#10;OP0h/9YAAACUAQAACwAAAAAAAAAAAAAAAAAvAQAAX3JlbHMvLnJlbHNQSwECLQAUAAYACAAAACEA&#10;uy/+hYoCAAAgBQAADgAAAAAAAAAAAAAAAAAuAgAAZHJzL2Uyb0RvYy54bWxQSwECLQAUAAYACAAA&#10;ACEADFK0ONoAAAAFAQAADwAAAAAAAAAAAAAAAADkBAAAZHJzL2Rvd25yZXYueG1sUEsFBgAAAAAE&#10;AAQA8wAAAOsFAAAAAA==&#10;" fillcolor="window" strokecolor="#bfbfbf [2412]" strokeweight="2pt">
                <v:textbox>
                  <w:txbxContent>
                    <w:p w14:paraId="6C6C868D" w14:textId="19B7A177" w:rsidR="009C01EA" w:rsidRPr="000677A0" w:rsidRDefault="009C01EA" w:rsidP="000677A0">
                      <w:pPr>
                        <w:pStyle w:val="Heading2"/>
                        <w:pBdr>
                          <w:bottom w:val="single" w:sz="18" w:space="1" w:color="92278F" w:themeColor="accent1"/>
                        </w:pBdr>
                        <w:rPr>
                          <w:b/>
                        </w:rPr>
                      </w:pPr>
                      <w:bookmarkStart w:id="20" w:name="_Toc450201035"/>
                      <w:r w:rsidRPr="000677A0">
                        <w:t>RESOURCE: Campus Pride Trans Policy Clearinghouse</w:t>
                      </w:r>
                      <w:bookmarkEnd w:id="20"/>
                    </w:p>
                    <w:p w14:paraId="1A72B248" w14:textId="788246D0" w:rsidR="009C01EA" w:rsidRPr="0021572A" w:rsidRDefault="009C01EA" w:rsidP="00295F6E">
                      <w:pPr>
                        <w:pStyle w:val="NormalWeb"/>
                        <w:jc w:val="left"/>
                        <w:rPr>
                          <w:rFonts w:asciiTheme="minorHAnsi" w:hAnsiTheme="minorHAnsi"/>
                          <w:color w:val="000000" w:themeColor="text1"/>
                          <w:sz w:val="24"/>
                          <w:szCs w:val="24"/>
                        </w:rPr>
                      </w:pPr>
                      <w:r w:rsidRPr="0021572A">
                        <w:rPr>
                          <w:rFonts w:asciiTheme="minorHAnsi" w:hAnsiTheme="minorHAnsi"/>
                          <w:color w:val="000000" w:themeColor="text1"/>
                          <w:sz w:val="24"/>
                          <w:szCs w:val="24"/>
                        </w:rPr>
                        <w:t xml:space="preserve">Are you a prospective student wondering what campuses have gender-inclusive housing? An administrator researching trans-inclusive health insurance models to implement on your </w:t>
                      </w:r>
                      <w:proofErr w:type="gramStart"/>
                      <w:r w:rsidRPr="0021572A">
                        <w:rPr>
                          <w:rFonts w:asciiTheme="minorHAnsi" w:hAnsiTheme="minorHAnsi"/>
                          <w:color w:val="000000" w:themeColor="text1"/>
                          <w:sz w:val="24"/>
                          <w:szCs w:val="24"/>
                        </w:rPr>
                        <w:t>campus?</w:t>
                      </w:r>
                      <w:proofErr w:type="gramEnd"/>
                      <w:r w:rsidRPr="0021572A">
                        <w:rPr>
                          <w:rFonts w:asciiTheme="minorHAnsi" w:hAnsiTheme="minorHAnsi"/>
                          <w:color w:val="000000" w:themeColor="text1"/>
                          <w:sz w:val="24"/>
                          <w:szCs w:val="24"/>
                        </w:rPr>
                        <w:t xml:space="preserve"> A parent looking for trans-friendly colleges and universities for your child? The Campus Pride Trans Policy Clearinghouse is </w:t>
                      </w:r>
                      <w:r w:rsidR="0030692B" w:rsidRPr="0021572A">
                        <w:rPr>
                          <w:rFonts w:asciiTheme="minorHAnsi" w:hAnsiTheme="minorHAnsi"/>
                          <w:color w:val="000000" w:themeColor="text1"/>
                          <w:sz w:val="24"/>
                          <w:szCs w:val="24"/>
                        </w:rPr>
                        <w:t>a</w:t>
                      </w:r>
                      <w:r w:rsidRPr="0021572A">
                        <w:rPr>
                          <w:rFonts w:asciiTheme="minorHAnsi" w:hAnsiTheme="minorHAnsi"/>
                          <w:color w:val="000000" w:themeColor="text1"/>
                          <w:sz w:val="24"/>
                          <w:szCs w:val="24"/>
                        </w:rPr>
                        <w:t xml:space="preserve"> resource for transgender policies at colleges and universities. The clearinghouse is updated regularly by Dr. Genny </w:t>
                      </w:r>
                      <w:proofErr w:type="spellStart"/>
                      <w:r w:rsidRPr="0021572A">
                        <w:rPr>
                          <w:rFonts w:asciiTheme="minorHAnsi" w:hAnsiTheme="minorHAnsi"/>
                          <w:color w:val="000000" w:themeColor="text1"/>
                          <w:sz w:val="24"/>
                          <w:szCs w:val="24"/>
                        </w:rPr>
                        <w:t>Beemyn</w:t>
                      </w:r>
                      <w:proofErr w:type="spellEnd"/>
                      <w:r w:rsidRPr="0021572A">
                        <w:rPr>
                          <w:rFonts w:asciiTheme="minorHAnsi" w:hAnsiTheme="minorHAnsi"/>
                          <w:color w:val="000000" w:themeColor="text1"/>
                          <w:sz w:val="24"/>
                          <w:szCs w:val="24"/>
                        </w:rPr>
                        <w:t>, a noted scholar on trans issues in higher education and the Director of the University of Massachusetts Amherst’s Stonewall Center.</w:t>
                      </w:r>
                    </w:p>
                    <w:p w14:paraId="43D8CE59" w14:textId="4843FA5B" w:rsidR="00163FEC" w:rsidRPr="00163FEC" w:rsidRDefault="00163FEC" w:rsidP="00163FEC">
                      <w:pPr>
                        <w:rPr>
                          <w:color w:val="92278F" w:themeColor="accent1"/>
                          <w:sz w:val="24"/>
                        </w:rPr>
                      </w:pPr>
                      <w:r w:rsidRPr="00163FEC">
                        <w:rPr>
                          <w:color w:val="92278F" w:themeColor="accent1"/>
                          <w:sz w:val="24"/>
                        </w:rPr>
                        <w:t xml:space="preserve">You can search trans policies at colleges and universities across the United States (last modified </w:t>
                      </w:r>
                      <w:r w:rsidR="00E1255E">
                        <w:rPr>
                          <w:color w:val="92278F" w:themeColor="accent1"/>
                          <w:sz w:val="24"/>
                        </w:rPr>
                        <w:t>Feb. 2020</w:t>
                      </w:r>
                      <w:r w:rsidRPr="00163FEC">
                        <w:rPr>
                          <w:color w:val="92278F" w:themeColor="accent1"/>
                          <w:sz w:val="24"/>
                        </w:rPr>
                        <w:t>):</w:t>
                      </w:r>
                    </w:p>
                    <w:p w14:paraId="6F710F62" w14:textId="355F7448" w:rsidR="00163FEC" w:rsidRPr="00163FEC" w:rsidRDefault="00B10BA3" w:rsidP="00163FEC">
                      <w:pPr>
                        <w:pStyle w:val="ListParagraph"/>
                        <w:numPr>
                          <w:ilvl w:val="0"/>
                          <w:numId w:val="39"/>
                        </w:numPr>
                        <w:rPr>
                          <w:rFonts w:ascii="Tw Cen MT" w:hAnsi="Tw Cen MT"/>
                          <w:sz w:val="24"/>
                        </w:rPr>
                      </w:pPr>
                      <w:hyperlink r:id="rId28" w:history="1">
                        <w:r w:rsidR="00163FEC" w:rsidRPr="00163FEC">
                          <w:rPr>
                            <w:rStyle w:val="Hyperlink"/>
                            <w:rFonts w:ascii="Tw Cen MT" w:hAnsi="Tw Cen MT"/>
                            <w:sz w:val="24"/>
                          </w:rPr>
                          <w:t>Colleges and Universities with Nondiscrimination Policies that Include Gender Identity/Expression</w:t>
                        </w:r>
                      </w:hyperlink>
                    </w:p>
                    <w:p w14:paraId="0C262346" w14:textId="1DFFF1B7" w:rsidR="00163FEC" w:rsidRPr="00163FEC" w:rsidRDefault="00B10BA3" w:rsidP="00163FEC">
                      <w:pPr>
                        <w:pStyle w:val="ListParagraph"/>
                        <w:numPr>
                          <w:ilvl w:val="0"/>
                          <w:numId w:val="39"/>
                        </w:numPr>
                        <w:rPr>
                          <w:rFonts w:ascii="Tw Cen MT" w:hAnsi="Tw Cen MT"/>
                          <w:sz w:val="24"/>
                        </w:rPr>
                      </w:pPr>
                      <w:hyperlink r:id="rId29" w:history="1">
                        <w:r w:rsidR="00163FEC" w:rsidRPr="00163FEC">
                          <w:rPr>
                            <w:rStyle w:val="Hyperlink"/>
                            <w:rFonts w:ascii="Tw Cen MT" w:hAnsi="Tw Cen MT"/>
                            <w:sz w:val="24"/>
                          </w:rPr>
                          <w:t>Colleges and Universities that Cover Transition-Related Medical Expenses Under Student Health Insurance</w:t>
                        </w:r>
                      </w:hyperlink>
                    </w:p>
                    <w:p w14:paraId="51558CE9" w14:textId="4D2569E9" w:rsidR="00163FEC" w:rsidRPr="00163FEC" w:rsidRDefault="00B10BA3" w:rsidP="00163FEC">
                      <w:pPr>
                        <w:pStyle w:val="ListParagraph"/>
                        <w:numPr>
                          <w:ilvl w:val="0"/>
                          <w:numId w:val="39"/>
                        </w:numPr>
                        <w:rPr>
                          <w:rFonts w:ascii="Tw Cen MT" w:hAnsi="Tw Cen MT"/>
                          <w:sz w:val="24"/>
                        </w:rPr>
                      </w:pPr>
                      <w:hyperlink r:id="rId30" w:history="1">
                        <w:r w:rsidR="00163FEC" w:rsidRPr="00163FEC">
                          <w:rPr>
                            <w:rStyle w:val="Hyperlink"/>
                            <w:rFonts w:ascii="Tw Cen MT" w:hAnsi="Tw Cen MT"/>
                            <w:sz w:val="24"/>
                          </w:rPr>
                          <w:t>Colleges and Universities that Cover Transition-Related Medical Expenses Under Employee Health Insurance</w:t>
                        </w:r>
                      </w:hyperlink>
                    </w:p>
                    <w:p w14:paraId="6703406F" w14:textId="157485F7" w:rsidR="00163FEC" w:rsidRPr="00163FEC" w:rsidRDefault="00B10BA3" w:rsidP="00163FEC">
                      <w:pPr>
                        <w:pStyle w:val="ListParagraph"/>
                        <w:numPr>
                          <w:ilvl w:val="0"/>
                          <w:numId w:val="39"/>
                        </w:numPr>
                        <w:rPr>
                          <w:rFonts w:ascii="Tw Cen MT" w:hAnsi="Tw Cen MT"/>
                          <w:sz w:val="24"/>
                        </w:rPr>
                      </w:pPr>
                      <w:hyperlink r:id="rId31" w:tooltip="Edit " w:history="1">
                        <w:r w:rsidR="00163FEC" w:rsidRPr="00163FEC">
                          <w:rPr>
                            <w:rStyle w:val="Hyperlink"/>
                            <w:rFonts w:ascii="Tw Cen MT" w:hAnsi="Tw Cen MT"/>
                            <w:sz w:val="24"/>
                          </w:rPr>
                          <w:t>Colleges and Universities that Provide Gender-Inclusive Housing</w:t>
                        </w:r>
                      </w:hyperlink>
                    </w:p>
                    <w:p w14:paraId="46EDC9F4" w14:textId="77777777" w:rsidR="00163FEC" w:rsidRPr="00163FEC" w:rsidRDefault="00163FEC" w:rsidP="00163FEC">
                      <w:pPr>
                        <w:pStyle w:val="ListParagraph"/>
                        <w:numPr>
                          <w:ilvl w:val="0"/>
                          <w:numId w:val="39"/>
                        </w:numPr>
                        <w:rPr>
                          <w:rFonts w:ascii="Tw Cen MT" w:hAnsi="Tw Cen MT"/>
                          <w:sz w:val="24"/>
                        </w:rPr>
                      </w:pPr>
                      <w:r w:rsidRPr="00163FEC">
                        <w:rPr>
                          <w:rFonts w:ascii="Tw Cen MT" w:hAnsi="Tw Cen MT"/>
                          <w:sz w:val="24"/>
                        </w:rPr>
                        <w:t> </w:t>
                      </w:r>
                      <w:hyperlink r:id="rId32" w:history="1">
                        <w:r w:rsidRPr="00163FEC">
                          <w:rPr>
                            <w:rStyle w:val="Hyperlink"/>
                            <w:rFonts w:ascii="Tw Cen MT" w:hAnsi="Tw Cen MT"/>
                            <w:sz w:val="24"/>
                          </w:rPr>
                          <w:t>Colleges and Universities that Allow Students to Change the Name and Gender on Campus Records and to Have Their Pronouns on Course Rosters</w:t>
                        </w:r>
                      </w:hyperlink>
                    </w:p>
                    <w:p w14:paraId="7471B488" w14:textId="0EEF11A3" w:rsidR="00163FEC" w:rsidRPr="00163FEC" w:rsidRDefault="00B10BA3" w:rsidP="00163FEC">
                      <w:pPr>
                        <w:pStyle w:val="ListParagraph"/>
                        <w:numPr>
                          <w:ilvl w:val="0"/>
                          <w:numId w:val="39"/>
                        </w:numPr>
                        <w:rPr>
                          <w:rFonts w:ascii="Tw Cen MT" w:hAnsi="Tw Cen MT"/>
                          <w:sz w:val="24"/>
                        </w:rPr>
                      </w:pPr>
                      <w:hyperlink r:id="rId33" w:tooltip="Colleges and Universities with a Trans-Inclusive Intramural Athletic Policy" w:history="1">
                        <w:r w:rsidR="00163FEC" w:rsidRPr="00163FEC">
                          <w:rPr>
                            <w:rStyle w:val="Hyperlink"/>
                            <w:rFonts w:ascii="Tw Cen MT" w:hAnsi="Tw Cen MT"/>
                            <w:sz w:val="24"/>
                          </w:rPr>
                          <w:t>Colleges and Universities with a Trans-Inclusive Intramural Athletic Policy</w:t>
                        </w:r>
                      </w:hyperlink>
                    </w:p>
                    <w:p w14:paraId="0FFA20EC" w14:textId="1F627F97" w:rsidR="00163FEC" w:rsidRPr="00163FEC" w:rsidRDefault="00B10BA3" w:rsidP="00163FEC">
                      <w:pPr>
                        <w:pStyle w:val="ListParagraph"/>
                        <w:numPr>
                          <w:ilvl w:val="0"/>
                          <w:numId w:val="39"/>
                        </w:numPr>
                        <w:rPr>
                          <w:rFonts w:ascii="Tw Cen MT" w:hAnsi="Tw Cen MT"/>
                          <w:sz w:val="24"/>
                        </w:rPr>
                      </w:pPr>
                      <w:hyperlink r:id="rId34" w:tooltip="Colleges and Universities with LGBTQ Identity Questions as an Option on Admission Applications &amp; Enrollment Forms" w:history="1">
                        <w:r w:rsidR="00163FEC" w:rsidRPr="00163FEC">
                          <w:rPr>
                            <w:rStyle w:val="Hyperlink"/>
                            <w:rFonts w:ascii="Tw Cen MT" w:hAnsi="Tw Cen MT"/>
                            <w:sz w:val="24"/>
                          </w:rPr>
                          <w:t>Colleges and Universities with LGBTQ Identity Questions as an Option on Admission Applications &amp; Enrollment Forms </w:t>
                        </w:r>
                      </w:hyperlink>
                    </w:p>
                    <w:p w14:paraId="697C82E3" w14:textId="1F41331C" w:rsidR="00163FEC" w:rsidRPr="00163FEC" w:rsidRDefault="00B10BA3" w:rsidP="00163FEC">
                      <w:pPr>
                        <w:pStyle w:val="ListParagraph"/>
                        <w:numPr>
                          <w:ilvl w:val="0"/>
                          <w:numId w:val="39"/>
                        </w:numPr>
                        <w:rPr>
                          <w:rFonts w:ascii="Tw Cen MT" w:hAnsi="Tw Cen MT"/>
                          <w:sz w:val="24"/>
                        </w:rPr>
                      </w:pPr>
                      <w:hyperlink r:id="rId35" w:history="1">
                        <w:r w:rsidR="00163FEC" w:rsidRPr="00163FEC">
                          <w:rPr>
                            <w:rStyle w:val="Hyperlink"/>
                            <w:rFonts w:ascii="Tw Cen MT" w:hAnsi="Tw Cen MT"/>
                            <w:sz w:val="24"/>
                          </w:rPr>
                          <w:t>Women’s Colleges with Trans-Inclusive Admissions Policies</w:t>
                        </w:r>
                      </w:hyperlink>
                    </w:p>
                    <w:p w14:paraId="7B082F1A" w14:textId="378724F6" w:rsidR="009C01EA" w:rsidRPr="00260A7E" w:rsidRDefault="009C01EA" w:rsidP="00260A7E">
                      <w:pPr>
                        <w:spacing w:after="100" w:afterAutospacing="1"/>
                        <w:jc w:val="right"/>
                        <w:rPr>
                          <w:rFonts w:eastAsia="Times New Roman" w:cs="Times New Roman"/>
                          <w:sz w:val="24"/>
                          <w:szCs w:val="24"/>
                        </w:rPr>
                      </w:pPr>
                      <w:r w:rsidRPr="00260A7E">
                        <w:rPr>
                          <w:rFonts w:eastAsia="Times New Roman" w:cs="Times New Roman"/>
                          <w:bCs/>
                          <w:sz w:val="20"/>
                          <w:szCs w:val="24"/>
                        </w:rPr>
                        <w:t>Source</w:t>
                      </w:r>
                      <w:r w:rsidR="00260A7E">
                        <w:rPr>
                          <w:rFonts w:eastAsia="Times New Roman" w:cs="Times New Roman"/>
                          <w:bCs/>
                          <w:sz w:val="20"/>
                          <w:szCs w:val="24"/>
                        </w:rPr>
                        <w:t>-</w:t>
                      </w:r>
                      <w:r w:rsidRPr="00260A7E">
                        <w:rPr>
                          <w:rFonts w:eastAsia="Times New Roman" w:cs="Times New Roman"/>
                          <w:bCs/>
                          <w:sz w:val="20"/>
                          <w:szCs w:val="24"/>
                        </w:rPr>
                        <w:t xml:space="preserve">Campus Pride </w:t>
                      </w:r>
                      <w:hyperlink r:id="rId36" w:history="1">
                        <w:r w:rsidR="00163FEC">
                          <w:rPr>
                            <w:rStyle w:val="Hyperlink"/>
                          </w:rPr>
                          <w:t>https://www.campuspride.org/tpc/</w:t>
                        </w:r>
                      </w:hyperlink>
                    </w:p>
                    <w:p w14:paraId="0403F6B4" w14:textId="77777777" w:rsidR="009C01EA" w:rsidRPr="00471AB8" w:rsidRDefault="009C01EA" w:rsidP="00295F6E">
                      <w:pPr>
                        <w:pStyle w:val="NormalWeb"/>
                        <w:jc w:val="left"/>
                        <w:rPr>
                          <w:rFonts w:ascii="Century Gothic" w:hAnsi="Century Gothic"/>
                          <w:color w:val="000000" w:themeColor="text1"/>
                          <w:sz w:val="20"/>
                          <w:szCs w:val="20"/>
                        </w:rPr>
                      </w:pPr>
                    </w:p>
                    <w:p w14:paraId="271C0D6A" w14:textId="77777777" w:rsidR="009C01EA" w:rsidRDefault="009C01EA" w:rsidP="00295F6E">
                      <w:pPr>
                        <w:jc w:val="center"/>
                      </w:pPr>
                    </w:p>
                  </w:txbxContent>
                </v:textbox>
                <w10:anchorlock/>
              </v:rect>
            </w:pict>
          </mc:Fallback>
        </mc:AlternateContent>
      </w:r>
    </w:p>
    <w:p w14:paraId="5811E1E3" w14:textId="609B8C21" w:rsidR="006F0D2B" w:rsidRPr="0021572A" w:rsidRDefault="006F0D2B" w:rsidP="0021572A">
      <w:pPr>
        <w:pStyle w:val="Heading3"/>
        <w:rPr>
          <w:sz w:val="28"/>
        </w:rPr>
      </w:pPr>
      <w:bookmarkStart w:id="15" w:name="_Toc451516203"/>
      <w:bookmarkStart w:id="16" w:name="_Toc451857737"/>
      <w:r w:rsidRPr="0021572A">
        <w:rPr>
          <w:rStyle w:val="Strong"/>
          <w:b w:val="0"/>
          <w:bCs w:val="0"/>
          <w:sz w:val="28"/>
        </w:rPr>
        <w:t xml:space="preserve">Understanding </w:t>
      </w:r>
      <w:r w:rsidR="000C7517" w:rsidRPr="0021572A">
        <w:rPr>
          <w:rStyle w:val="Strong"/>
          <w:b w:val="0"/>
          <w:bCs w:val="0"/>
          <w:sz w:val="28"/>
        </w:rPr>
        <w:t>the Campus Climate</w:t>
      </w:r>
      <w:bookmarkEnd w:id="15"/>
      <w:bookmarkEnd w:id="16"/>
    </w:p>
    <w:p w14:paraId="411398E8" w14:textId="52E849CA" w:rsidR="00FF79CD" w:rsidRPr="0021572A" w:rsidRDefault="006F0D2B" w:rsidP="006F0D2B">
      <w:pPr>
        <w:pStyle w:val="NormalWeb"/>
        <w:spacing w:after="0"/>
        <w:jc w:val="left"/>
        <w:rPr>
          <w:rFonts w:ascii="Tw Cen MT" w:hAnsi="Tw Cen MT"/>
          <w:sz w:val="24"/>
          <w:szCs w:val="20"/>
        </w:rPr>
      </w:pPr>
      <w:r w:rsidRPr="0021572A">
        <w:rPr>
          <w:rFonts w:ascii="Tw Cen MT" w:hAnsi="Tw Cen MT"/>
          <w:sz w:val="24"/>
          <w:szCs w:val="20"/>
        </w:rPr>
        <w:t xml:space="preserve">While policies and services that protect and nurture the </w:t>
      </w:r>
      <w:r w:rsidR="00163FEC">
        <w:rPr>
          <w:rFonts w:ascii="Tw Cen MT" w:hAnsi="Tw Cen MT"/>
          <w:sz w:val="24"/>
          <w:szCs w:val="20"/>
        </w:rPr>
        <w:t>LGBTQ+</w:t>
      </w:r>
      <w:r w:rsidRPr="0021572A">
        <w:rPr>
          <w:rFonts w:ascii="Tw Cen MT" w:hAnsi="Tw Cen MT"/>
          <w:sz w:val="24"/>
          <w:szCs w:val="20"/>
        </w:rPr>
        <w:t xml:space="preserve"> community are crucial considerations for </w:t>
      </w:r>
      <w:r w:rsidR="00163FEC">
        <w:rPr>
          <w:rFonts w:ascii="Tw Cen MT" w:hAnsi="Tw Cen MT"/>
          <w:sz w:val="24"/>
          <w:szCs w:val="20"/>
        </w:rPr>
        <w:t>LGBTQ+</w:t>
      </w:r>
      <w:r w:rsidRPr="0021572A">
        <w:rPr>
          <w:rFonts w:ascii="Tw Cen MT" w:hAnsi="Tw Cen MT"/>
          <w:sz w:val="24"/>
          <w:szCs w:val="20"/>
        </w:rPr>
        <w:t xml:space="preserve"> applicants, it is also vital that </w:t>
      </w:r>
      <w:r w:rsidR="00FF79CD" w:rsidRPr="0021572A">
        <w:rPr>
          <w:rFonts w:ascii="Tw Cen MT" w:hAnsi="Tw Cen MT"/>
          <w:sz w:val="24"/>
          <w:szCs w:val="20"/>
        </w:rPr>
        <w:t>students and their families</w:t>
      </w:r>
      <w:r w:rsidRPr="0021572A">
        <w:rPr>
          <w:rFonts w:ascii="Tw Cen MT" w:hAnsi="Tw Cen MT"/>
          <w:sz w:val="24"/>
          <w:szCs w:val="20"/>
        </w:rPr>
        <w:t xml:space="preserve"> try to understand the cultural climate on campus with regards to </w:t>
      </w:r>
      <w:r w:rsidR="00163FEC">
        <w:rPr>
          <w:rFonts w:ascii="Tw Cen MT" w:hAnsi="Tw Cen MT"/>
          <w:sz w:val="24"/>
          <w:szCs w:val="20"/>
        </w:rPr>
        <w:t>LGBTQ+</w:t>
      </w:r>
      <w:r w:rsidRPr="0021572A">
        <w:rPr>
          <w:rFonts w:ascii="Tw Cen MT" w:hAnsi="Tw Cen MT"/>
          <w:sz w:val="24"/>
          <w:szCs w:val="20"/>
        </w:rPr>
        <w:t xml:space="preserve"> students. </w:t>
      </w:r>
      <w:r w:rsidR="00FF79CD" w:rsidRPr="0021572A">
        <w:rPr>
          <w:rFonts w:ascii="Tw Cen MT" w:hAnsi="Tw Cen MT"/>
          <w:sz w:val="24"/>
          <w:szCs w:val="20"/>
        </w:rPr>
        <w:t xml:space="preserve">Encourage students to: </w:t>
      </w:r>
    </w:p>
    <w:p w14:paraId="27DDD526" w14:textId="62FD384E" w:rsidR="00FF79CD" w:rsidRPr="0021572A" w:rsidRDefault="006F0D2B" w:rsidP="00FF79CD">
      <w:pPr>
        <w:pStyle w:val="NormalWeb"/>
        <w:numPr>
          <w:ilvl w:val="0"/>
          <w:numId w:val="12"/>
        </w:numPr>
        <w:spacing w:after="0"/>
        <w:jc w:val="left"/>
        <w:rPr>
          <w:rFonts w:ascii="Tw Cen MT" w:hAnsi="Tw Cen MT"/>
          <w:sz w:val="24"/>
          <w:szCs w:val="20"/>
        </w:rPr>
      </w:pPr>
      <w:r w:rsidRPr="0021572A">
        <w:rPr>
          <w:rFonts w:ascii="Tw Cen MT" w:hAnsi="Tw Cen MT"/>
          <w:sz w:val="24"/>
          <w:szCs w:val="20"/>
        </w:rPr>
        <w:lastRenderedPageBreak/>
        <w:t xml:space="preserve">Look up bias crime statistics for the campus to see if there have been any recent incidents that targeted </w:t>
      </w:r>
      <w:r w:rsidR="00163FEC">
        <w:rPr>
          <w:rFonts w:ascii="Tw Cen MT" w:hAnsi="Tw Cen MT"/>
          <w:sz w:val="24"/>
          <w:szCs w:val="20"/>
        </w:rPr>
        <w:t>LGBTQ+</w:t>
      </w:r>
      <w:r w:rsidRPr="0021572A">
        <w:rPr>
          <w:rFonts w:ascii="Tw Cen MT" w:hAnsi="Tw Cen MT"/>
          <w:sz w:val="24"/>
          <w:szCs w:val="20"/>
        </w:rPr>
        <w:t xml:space="preserve"> students or employees (or any other marginalized group, for that matter). </w:t>
      </w:r>
    </w:p>
    <w:p w14:paraId="0446D69E" w14:textId="29987F74" w:rsidR="00FF79CD" w:rsidRPr="0021572A" w:rsidRDefault="00FF79CD" w:rsidP="009C01EA">
      <w:pPr>
        <w:pStyle w:val="NormalWeb"/>
        <w:numPr>
          <w:ilvl w:val="0"/>
          <w:numId w:val="12"/>
        </w:numPr>
        <w:spacing w:after="0"/>
        <w:jc w:val="left"/>
        <w:rPr>
          <w:rFonts w:ascii="Tw Cen MT" w:hAnsi="Tw Cen MT"/>
          <w:sz w:val="24"/>
          <w:szCs w:val="20"/>
        </w:rPr>
      </w:pPr>
      <w:r w:rsidRPr="0021572A">
        <w:rPr>
          <w:rFonts w:ascii="Tw Cen MT" w:hAnsi="Tw Cen MT"/>
          <w:sz w:val="24"/>
          <w:szCs w:val="20"/>
        </w:rPr>
        <w:t>R</w:t>
      </w:r>
      <w:r w:rsidR="006F0D2B" w:rsidRPr="0021572A">
        <w:rPr>
          <w:rFonts w:ascii="Tw Cen MT" w:hAnsi="Tw Cen MT"/>
          <w:sz w:val="24"/>
          <w:szCs w:val="20"/>
        </w:rPr>
        <w:t>ead the campus newspaper, which will often be</w:t>
      </w:r>
      <w:r w:rsidR="00D43652" w:rsidRPr="0021572A">
        <w:rPr>
          <w:rFonts w:ascii="Tw Cen MT" w:hAnsi="Tw Cen MT"/>
          <w:sz w:val="24"/>
          <w:szCs w:val="20"/>
        </w:rPr>
        <w:t xml:space="preserve"> available online, to see what</w:t>
      </w:r>
      <w:r w:rsidR="006F0D2B" w:rsidRPr="0021572A">
        <w:rPr>
          <w:rFonts w:ascii="Tw Cen MT" w:hAnsi="Tw Cen MT"/>
          <w:sz w:val="24"/>
          <w:szCs w:val="20"/>
        </w:rPr>
        <w:t xml:space="preserve"> potential future peers are saying about </w:t>
      </w:r>
      <w:r w:rsidR="00163FEC">
        <w:rPr>
          <w:rFonts w:ascii="Tw Cen MT" w:hAnsi="Tw Cen MT"/>
          <w:sz w:val="24"/>
          <w:szCs w:val="20"/>
        </w:rPr>
        <w:t>LGBTQ+</w:t>
      </w:r>
      <w:r w:rsidR="006F0D2B" w:rsidRPr="0021572A">
        <w:rPr>
          <w:rFonts w:ascii="Tw Cen MT" w:hAnsi="Tw Cen MT"/>
          <w:sz w:val="24"/>
          <w:szCs w:val="20"/>
        </w:rPr>
        <w:t xml:space="preserve"> issues.</w:t>
      </w:r>
    </w:p>
    <w:p w14:paraId="2CA42DA3" w14:textId="3A84DE57" w:rsidR="006F0D2B" w:rsidRPr="0021572A" w:rsidRDefault="00FF79CD" w:rsidP="009C01EA">
      <w:pPr>
        <w:pStyle w:val="NormalWeb"/>
        <w:numPr>
          <w:ilvl w:val="0"/>
          <w:numId w:val="12"/>
        </w:numPr>
        <w:spacing w:after="0"/>
        <w:jc w:val="left"/>
        <w:rPr>
          <w:rFonts w:ascii="Tw Cen MT" w:hAnsi="Tw Cen MT"/>
          <w:sz w:val="24"/>
          <w:szCs w:val="20"/>
        </w:rPr>
      </w:pPr>
      <w:r w:rsidRPr="0021572A">
        <w:rPr>
          <w:rFonts w:ascii="Tw Cen MT" w:hAnsi="Tw Cen MT"/>
          <w:sz w:val="24"/>
          <w:szCs w:val="20"/>
        </w:rPr>
        <w:t>Vi</w:t>
      </w:r>
      <w:r w:rsidR="006F0D2B" w:rsidRPr="0021572A">
        <w:rPr>
          <w:rFonts w:ascii="Tw Cen MT" w:hAnsi="Tw Cen MT"/>
          <w:sz w:val="24"/>
          <w:szCs w:val="20"/>
        </w:rPr>
        <w:t>sit campus</w:t>
      </w:r>
      <w:r w:rsidRPr="0021572A">
        <w:rPr>
          <w:rFonts w:ascii="Tw Cen MT" w:hAnsi="Tw Cen MT"/>
          <w:sz w:val="24"/>
          <w:szCs w:val="20"/>
        </w:rPr>
        <w:t>es</w:t>
      </w:r>
      <w:r w:rsidR="006F0D2B" w:rsidRPr="0021572A">
        <w:rPr>
          <w:rFonts w:ascii="Tw Cen MT" w:hAnsi="Tw Cen MT"/>
          <w:sz w:val="24"/>
          <w:szCs w:val="20"/>
        </w:rPr>
        <w:t xml:space="preserve"> (some schools offer travel scholarships), talk to students who don’t work for the admissions office about the campus climate. </w:t>
      </w:r>
      <w:r w:rsidRPr="0021572A">
        <w:rPr>
          <w:rFonts w:ascii="Tw Cen MT" w:hAnsi="Tw Cen MT"/>
          <w:sz w:val="24"/>
          <w:szCs w:val="20"/>
        </w:rPr>
        <w:t>R</w:t>
      </w:r>
      <w:r w:rsidR="006F0D2B" w:rsidRPr="0021572A">
        <w:rPr>
          <w:rFonts w:ascii="Tw Cen MT" w:hAnsi="Tw Cen MT"/>
          <w:sz w:val="24"/>
          <w:szCs w:val="20"/>
        </w:rPr>
        <w:t xml:space="preserve">each out to students through the campus </w:t>
      </w:r>
      <w:r w:rsidR="00163FEC">
        <w:rPr>
          <w:rFonts w:ascii="Tw Cen MT" w:hAnsi="Tw Cen MT"/>
          <w:sz w:val="24"/>
          <w:szCs w:val="20"/>
        </w:rPr>
        <w:t>LGBTQ+</w:t>
      </w:r>
      <w:r w:rsidR="006F0D2B" w:rsidRPr="0021572A">
        <w:rPr>
          <w:rFonts w:ascii="Tw Cen MT" w:hAnsi="Tw Cen MT"/>
          <w:sz w:val="24"/>
          <w:szCs w:val="20"/>
        </w:rPr>
        <w:t xml:space="preserve"> center or a dean of multicultural affairs. </w:t>
      </w:r>
    </w:p>
    <w:p w14:paraId="31778F92" w14:textId="5EBDE967" w:rsidR="005A52E0" w:rsidRPr="0021572A" w:rsidRDefault="005A52E0" w:rsidP="005A52E0">
      <w:pPr>
        <w:pStyle w:val="NormalWeb"/>
        <w:spacing w:after="0"/>
        <w:jc w:val="left"/>
        <w:rPr>
          <w:rFonts w:ascii="Tw Cen MT" w:hAnsi="Tw Cen MT"/>
          <w:sz w:val="24"/>
          <w:szCs w:val="20"/>
        </w:rPr>
      </w:pPr>
    </w:p>
    <w:p w14:paraId="52CBA735" w14:textId="7AB188F5" w:rsidR="006F0D2B" w:rsidRPr="0021572A" w:rsidRDefault="00FF79CD" w:rsidP="006F0D2B">
      <w:pPr>
        <w:pStyle w:val="NormalWeb"/>
        <w:jc w:val="left"/>
        <w:rPr>
          <w:rFonts w:ascii="Tw Cen MT" w:hAnsi="Tw Cen MT"/>
          <w:sz w:val="24"/>
          <w:szCs w:val="20"/>
        </w:rPr>
      </w:pPr>
      <w:r w:rsidRPr="0021572A">
        <w:rPr>
          <w:rFonts w:ascii="Tw Cen MT" w:hAnsi="Tw Cen MT"/>
          <w:sz w:val="24"/>
          <w:szCs w:val="20"/>
        </w:rPr>
        <w:t>Students</w:t>
      </w:r>
      <w:r w:rsidR="006F0D2B" w:rsidRPr="0021572A">
        <w:rPr>
          <w:rFonts w:ascii="Tw Cen MT" w:hAnsi="Tw Cen MT"/>
          <w:sz w:val="24"/>
          <w:szCs w:val="20"/>
        </w:rPr>
        <w:t xml:space="preserve"> deserve to be on a campus where </w:t>
      </w:r>
      <w:r w:rsidRPr="0021572A">
        <w:rPr>
          <w:rFonts w:ascii="Tw Cen MT" w:hAnsi="Tw Cen MT"/>
          <w:sz w:val="24"/>
          <w:szCs w:val="20"/>
        </w:rPr>
        <w:t>they</w:t>
      </w:r>
      <w:r w:rsidR="006F0D2B" w:rsidRPr="0021572A">
        <w:rPr>
          <w:rFonts w:ascii="Tw Cen MT" w:hAnsi="Tw Cen MT"/>
          <w:sz w:val="24"/>
          <w:szCs w:val="20"/>
        </w:rPr>
        <w:t xml:space="preserve"> feel safe</w:t>
      </w:r>
      <w:r w:rsidRPr="0021572A">
        <w:rPr>
          <w:rFonts w:ascii="Tw Cen MT" w:hAnsi="Tw Cen MT"/>
          <w:sz w:val="24"/>
          <w:szCs w:val="20"/>
        </w:rPr>
        <w:t xml:space="preserve"> and </w:t>
      </w:r>
      <w:r w:rsidR="006F0D2B" w:rsidRPr="0021572A">
        <w:rPr>
          <w:rFonts w:ascii="Tw Cen MT" w:hAnsi="Tw Cen MT"/>
          <w:sz w:val="24"/>
          <w:szCs w:val="20"/>
        </w:rPr>
        <w:t xml:space="preserve">free to be who </w:t>
      </w:r>
      <w:r w:rsidRPr="0021572A">
        <w:rPr>
          <w:rFonts w:ascii="Tw Cen MT" w:hAnsi="Tw Cen MT"/>
          <w:sz w:val="24"/>
          <w:szCs w:val="20"/>
        </w:rPr>
        <w:t>they are</w:t>
      </w:r>
      <w:r w:rsidR="006F0D2B" w:rsidRPr="0021572A">
        <w:rPr>
          <w:rFonts w:ascii="Tw Cen MT" w:hAnsi="Tw Cen MT"/>
          <w:sz w:val="24"/>
          <w:szCs w:val="20"/>
        </w:rPr>
        <w:t xml:space="preserve"> in every context — whether in the classroom, in </w:t>
      </w:r>
      <w:r w:rsidRPr="0021572A">
        <w:rPr>
          <w:rFonts w:ascii="Tw Cen MT" w:hAnsi="Tw Cen MT"/>
          <w:sz w:val="24"/>
          <w:szCs w:val="20"/>
        </w:rPr>
        <w:t xml:space="preserve">their </w:t>
      </w:r>
      <w:r w:rsidR="006F0D2B" w:rsidRPr="0021572A">
        <w:rPr>
          <w:rFonts w:ascii="Tw Cen MT" w:hAnsi="Tw Cen MT"/>
          <w:sz w:val="24"/>
          <w:szCs w:val="20"/>
        </w:rPr>
        <w:t xml:space="preserve">social life, or while competing for </w:t>
      </w:r>
      <w:r w:rsidRPr="0021572A">
        <w:rPr>
          <w:rFonts w:ascii="Tw Cen MT" w:hAnsi="Tw Cen MT"/>
          <w:sz w:val="24"/>
          <w:szCs w:val="20"/>
        </w:rPr>
        <w:t>their</w:t>
      </w:r>
      <w:r w:rsidR="006F0D2B" w:rsidRPr="0021572A">
        <w:rPr>
          <w:rFonts w:ascii="Tw Cen MT" w:hAnsi="Tw Cen MT"/>
          <w:sz w:val="24"/>
          <w:szCs w:val="20"/>
        </w:rPr>
        <w:t xml:space="preserve"> school. </w:t>
      </w:r>
      <w:r w:rsidRPr="0021572A">
        <w:rPr>
          <w:rFonts w:ascii="Tw Cen MT" w:hAnsi="Tw Cen MT"/>
          <w:sz w:val="24"/>
          <w:szCs w:val="20"/>
        </w:rPr>
        <w:t>Students’</w:t>
      </w:r>
      <w:r w:rsidR="006F0D2B" w:rsidRPr="0021572A">
        <w:rPr>
          <w:rFonts w:ascii="Tw Cen MT" w:hAnsi="Tw Cen MT"/>
          <w:sz w:val="24"/>
          <w:szCs w:val="20"/>
        </w:rPr>
        <w:t xml:space="preserve"> experience</w:t>
      </w:r>
      <w:r w:rsidRPr="0021572A">
        <w:rPr>
          <w:rFonts w:ascii="Tw Cen MT" w:hAnsi="Tw Cen MT"/>
          <w:sz w:val="24"/>
          <w:szCs w:val="20"/>
        </w:rPr>
        <w:t>s</w:t>
      </w:r>
      <w:r w:rsidR="006F0D2B" w:rsidRPr="0021572A">
        <w:rPr>
          <w:rFonts w:ascii="Tw Cen MT" w:hAnsi="Tw Cen MT"/>
          <w:sz w:val="24"/>
          <w:szCs w:val="20"/>
        </w:rPr>
        <w:t xml:space="preserve"> will be impacted by the culture of </w:t>
      </w:r>
      <w:r w:rsidRPr="0021572A">
        <w:rPr>
          <w:rFonts w:ascii="Tw Cen MT" w:hAnsi="Tw Cen MT"/>
          <w:sz w:val="24"/>
          <w:szCs w:val="20"/>
        </w:rPr>
        <w:t>their</w:t>
      </w:r>
      <w:r w:rsidR="006F0D2B" w:rsidRPr="0021572A">
        <w:rPr>
          <w:rFonts w:ascii="Tw Cen MT" w:hAnsi="Tw Cen MT"/>
          <w:sz w:val="24"/>
          <w:szCs w:val="20"/>
        </w:rPr>
        <w:t xml:space="preserve"> school as much as its stated policies. </w:t>
      </w:r>
      <w:r w:rsidRPr="0021572A">
        <w:rPr>
          <w:rFonts w:ascii="Tw Cen MT" w:hAnsi="Tw Cen MT"/>
          <w:sz w:val="24"/>
          <w:szCs w:val="20"/>
        </w:rPr>
        <w:t>Students should k</w:t>
      </w:r>
      <w:r w:rsidR="006F0D2B" w:rsidRPr="0021572A">
        <w:rPr>
          <w:rFonts w:ascii="Tw Cen MT" w:hAnsi="Tw Cen MT"/>
          <w:sz w:val="24"/>
          <w:szCs w:val="20"/>
        </w:rPr>
        <w:t>eep this in mind throughout the application process. </w:t>
      </w:r>
    </w:p>
    <w:p w14:paraId="69DA8DEB" w14:textId="7039E384" w:rsidR="006F0D2B" w:rsidRPr="00CA2AEC" w:rsidRDefault="006F0D2B" w:rsidP="00CA2AEC">
      <w:pPr>
        <w:pStyle w:val="Heading2"/>
      </w:pPr>
      <w:bookmarkStart w:id="17" w:name="_Toc450201033"/>
      <w:bookmarkStart w:id="18" w:name="_Toc451857738"/>
      <w:r w:rsidRPr="00CA2AEC">
        <w:rPr>
          <w:rStyle w:val="Strong"/>
          <w:b w:val="0"/>
          <w:bCs w:val="0"/>
        </w:rPr>
        <w:t xml:space="preserve">Being </w:t>
      </w:r>
      <w:r w:rsidR="000C7517" w:rsidRPr="00CA2AEC">
        <w:rPr>
          <w:rStyle w:val="Strong"/>
          <w:b w:val="0"/>
          <w:bCs w:val="0"/>
        </w:rPr>
        <w:t xml:space="preserve">Out </w:t>
      </w:r>
      <w:r w:rsidR="00807B44" w:rsidRPr="00CA2AEC">
        <w:rPr>
          <w:rStyle w:val="Strong"/>
          <w:b w:val="0"/>
          <w:bCs w:val="0"/>
        </w:rPr>
        <w:t>D</w:t>
      </w:r>
      <w:r w:rsidR="000C7517" w:rsidRPr="00CA2AEC">
        <w:rPr>
          <w:rStyle w:val="Strong"/>
          <w:b w:val="0"/>
          <w:bCs w:val="0"/>
        </w:rPr>
        <w:t>uring the Application Process</w:t>
      </w:r>
      <w:bookmarkEnd w:id="17"/>
      <w:bookmarkEnd w:id="18"/>
    </w:p>
    <w:p w14:paraId="00835F45" w14:textId="5566DC61" w:rsidR="006F0D2B" w:rsidRPr="000677A0" w:rsidRDefault="000677A0" w:rsidP="006F0D2B">
      <w:pPr>
        <w:pStyle w:val="NormalWeb"/>
        <w:jc w:val="left"/>
        <w:rPr>
          <w:rFonts w:ascii="Tw Cen MT" w:hAnsi="Tw Cen MT"/>
          <w:sz w:val="24"/>
          <w:szCs w:val="24"/>
        </w:rPr>
      </w:pPr>
      <w:r w:rsidRPr="000677A0">
        <w:rPr>
          <w:rFonts w:ascii="Tw Cen MT" w:hAnsi="Tw Cen MT"/>
          <w:noProof/>
          <w:sz w:val="24"/>
          <w:szCs w:val="24"/>
        </w:rPr>
        <mc:AlternateContent>
          <mc:Choice Requires="wps">
            <w:drawing>
              <wp:anchor distT="0" distB="0" distL="114300" distR="114300" simplePos="0" relativeHeight="251668480" behindDoc="0" locked="0" layoutInCell="1" allowOverlap="1" wp14:anchorId="28E977A8" wp14:editId="770A4BA1">
                <wp:simplePos x="0" y="0"/>
                <wp:positionH relativeFrom="margin">
                  <wp:posOffset>2857500</wp:posOffset>
                </wp:positionH>
                <wp:positionV relativeFrom="margin">
                  <wp:posOffset>2573020</wp:posOffset>
                </wp:positionV>
                <wp:extent cx="2946400" cy="2009140"/>
                <wp:effectExtent l="0" t="0" r="25400" b="10160"/>
                <wp:wrapSquare wrapText="bothSides"/>
                <wp:docPr id="10" name="Rectangle 10"/>
                <wp:cNvGraphicFramePr/>
                <a:graphic xmlns:a="http://schemas.openxmlformats.org/drawingml/2006/main">
                  <a:graphicData uri="http://schemas.microsoft.com/office/word/2010/wordprocessingShape">
                    <wps:wsp>
                      <wps:cNvSpPr/>
                      <wps:spPr>
                        <a:xfrm>
                          <a:off x="0" y="0"/>
                          <a:ext cx="2946400" cy="2009140"/>
                        </a:xfrm>
                        <a:prstGeom prst="rect">
                          <a:avLst/>
                        </a:prstGeom>
                        <a:ln>
                          <a:solidFill>
                            <a:schemeClr val="bg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55DB0B76" w14:textId="6B47A236" w:rsidR="009C01EA" w:rsidRPr="000677A0" w:rsidRDefault="009C01EA" w:rsidP="000677A0">
                            <w:pPr>
                              <w:pStyle w:val="Heading2"/>
                              <w:pBdr>
                                <w:bottom w:val="single" w:sz="18" w:space="1" w:color="92278F" w:themeColor="accent1"/>
                              </w:pBdr>
                            </w:pPr>
                            <w:bookmarkStart w:id="19" w:name="_Toc451516205"/>
                            <w:bookmarkStart w:id="20" w:name="_Toc451857525"/>
                            <w:bookmarkStart w:id="21" w:name="_Toc451857739"/>
                            <w:r w:rsidRPr="000677A0">
                              <w:t>RESOURCE:</w:t>
                            </w:r>
                            <w:r w:rsidR="000677A0" w:rsidRPr="000677A0">
                              <w:t xml:space="preserve"> </w:t>
                            </w:r>
                            <w:r w:rsidRPr="000677A0">
                              <w:t>Scholarship Databases</w:t>
                            </w:r>
                            <w:bookmarkEnd w:id="19"/>
                            <w:bookmarkEnd w:id="20"/>
                            <w:bookmarkEnd w:id="21"/>
                          </w:p>
                          <w:p w14:paraId="4F5388E8" w14:textId="77777777" w:rsidR="009C01EA" w:rsidRPr="000677A0" w:rsidRDefault="009C01EA" w:rsidP="005169A5">
                            <w:pPr>
                              <w:pStyle w:val="ListParagraph"/>
                              <w:numPr>
                                <w:ilvl w:val="0"/>
                                <w:numId w:val="31"/>
                              </w:numPr>
                              <w:ind w:left="360" w:hanging="180"/>
                              <w:rPr>
                                <w:sz w:val="24"/>
                                <w:szCs w:val="24"/>
                              </w:rPr>
                            </w:pPr>
                            <w:r w:rsidRPr="000677A0">
                              <w:rPr>
                                <w:sz w:val="24"/>
                                <w:szCs w:val="24"/>
                              </w:rPr>
                              <w:t xml:space="preserve">Human Rights Campaign’s LGBT Student Scholarship Database: </w:t>
                            </w:r>
                            <w:hyperlink r:id="rId37" w:history="1">
                              <w:r w:rsidRPr="000677A0">
                                <w:rPr>
                                  <w:rStyle w:val="Hyperlink"/>
                                  <w:sz w:val="24"/>
                                  <w:szCs w:val="24"/>
                                </w:rPr>
                                <w:t>www.hrc.org/resources/scholarship-database</w:t>
                              </w:r>
                            </w:hyperlink>
                            <w:r w:rsidRPr="000677A0">
                              <w:rPr>
                                <w:sz w:val="24"/>
                                <w:szCs w:val="24"/>
                              </w:rPr>
                              <w:t xml:space="preserve">  </w:t>
                            </w:r>
                          </w:p>
                          <w:p w14:paraId="52B7FA5B" w14:textId="77777777" w:rsidR="009C01EA" w:rsidRPr="000677A0" w:rsidRDefault="009C01EA" w:rsidP="005169A5">
                            <w:pPr>
                              <w:pStyle w:val="ListParagraph"/>
                              <w:numPr>
                                <w:ilvl w:val="0"/>
                                <w:numId w:val="31"/>
                              </w:numPr>
                              <w:ind w:left="360" w:hanging="180"/>
                              <w:rPr>
                                <w:sz w:val="24"/>
                                <w:szCs w:val="24"/>
                              </w:rPr>
                            </w:pPr>
                            <w:r w:rsidRPr="000677A0">
                              <w:rPr>
                                <w:sz w:val="24"/>
                                <w:szCs w:val="24"/>
                              </w:rPr>
                              <w:t xml:space="preserve">Campus Pride National Scholarship Database: </w:t>
                            </w:r>
                            <w:hyperlink r:id="rId38" w:history="1">
                              <w:r w:rsidRPr="000677A0">
                                <w:rPr>
                                  <w:rStyle w:val="Hyperlink"/>
                                  <w:sz w:val="24"/>
                                  <w:szCs w:val="24"/>
                                </w:rPr>
                                <w:t>www.campuspride.org/national-scholarship-database/</w:t>
                              </w:r>
                            </w:hyperlink>
                            <w:r w:rsidRPr="000677A0">
                              <w:rPr>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977A8" id="Rectangle 10" o:spid="_x0000_s1029" style="position:absolute;margin-left:225pt;margin-top:202.6pt;width:232pt;height:158.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AlwIAAIsFAAAOAAAAZHJzL2Uyb0RvYy54bWysVN9P2zAQfp+0/8Hy+0jaFRgVKapATJMY&#10;IGDi2XXsNprt82y3SffXc7aTUDGkSdNeEp/v7rtfn+/8otOK7ITzDZiKTo5KSoThUDdmXdEfT9ef&#10;vlDiAzM1U2BERffC04vFxw/nrZ2LKWxA1cIRBDF+3tqKbkKw86LwfCM080dghUGlBKdZQNGti9qx&#10;FtG1KqZleVK04GrrgAvv8fYqK+ki4UspeLiT0otAVEUxt5C+Ln1X8Vssztl87ZjdNLxPg/1DFpo1&#10;BoOOUFcsMLJ1zR9QuuEOPMhwxEEXIGXDRaoBq5mUb6p53DArUi3YHG/HNvn/B8tvd/eONDXODttj&#10;mMYZPWDXmFkrQfAOG9RaP0e7R3vvesnjMVbbSafjH+sgXWrqfmyq6ALheDk9m53MSgTnqMORnU1m&#10;CbV4dbfOh68CNImHijqMn5rJdjc+YEg0HUxiNGXi14Nq6utGqSREvohL5ciO4aRX60kCUFv9Hep8&#10;d3pcYhYZLdErmifsAySMFNGLWHIuMp3CXokc+UFI7FYsKwUYgXIMxrkwYdJHUQato5vELEfHnNkb&#10;RzU69bbRTST+jo7l3yOOHikqmDA668aAew+g/jmkK7P9UH2uOZYfulWXKPJ5YMMK6j3SxkF+T97y&#10;6wZHd8N8uGcOHxCOG5dCuMOPVNBWFPoTJRtwv9+7j/bIa9RS0uKDrKj/tWVOUKK+GWQ88gaJQ0IS&#10;ZsenUxTcoWZ1qDFbfQnIhAmuH8vTMdoHNRylA/2Mu2MZo6KKGY6xK8qDG4TLkBcFbh8ulstkhq/W&#10;snBjHi2P4LHPkZpP3TNztudvQOrfwvB42fwNjbNt9DSw3AaQTeJ47HTuaz8BfPGJnv12iivlUE5W&#10;rzt08QIAAP//AwBQSwMEFAAGAAgAAAAhAITZLw7hAAAACwEAAA8AAABkcnMvZG93bnJldi54bWxM&#10;jzFPwzAQhXck/oN1SGzUTmhaCHGqitKJqaVD2dzYxIH4HGI3Cfx6jgm2u3tP775XrCbXssH0ofEo&#10;IZkJYAYrrxusJRxetjd3wEJUqFXr0Uj4MgFW5eVFoXLtR9yZYR9rRiEYciXBxtjlnIfKGqfCzHcG&#10;SXvzvVOR1r7mulcjhbuWp0IsuFMN0gerOvNoTfWxPzsJn5tx6w/tmK03t8Px/fvptX62nZTXV9P6&#10;AVg0U/wzwy8+oUNJTCd/Rh1YK2GeCeoSaRBZCowc98mcLicJyzRZAC8L/r9D+QMAAP//AwBQSwEC&#10;LQAUAAYACAAAACEAtoM4kv4AAADhAQAAEwAAAAAAAAAAAAAAAAAAAAAAW0NvbnRlbnRfVHlwZXNd&#10;LnhtbFBLAQItABQABgAIAAAAIQA4/SH/1gAAAJQBAAALAAAAAAAAAAAAAAAAAC8BAABfcmVscy8u&#10;cmVsc1BLAQItABQABgAIAAAAIQBp/6pAlwIAAIsFAAAOAAAAAAAAAAAAAAAAAC4CAABkcnMvZTJv&#10;RG9jLnhtbFBLAQItABQABgAIAAAAIQCE2S8O4QAAAAsBAAAPAAAAAAAAAAAAAAAAAPEEAABkcnMv&#10;ZG93bnJldi54bWxQSwUGAAAAAAQABADzAAAA/wUAAAAA&#10;" fillcolor="white [3201]" strokecolor="#bfbfbf [2412]" strokeweight="2pt">
                <v:textbox>
                  <w:txbxContent>
                    <w:p w14:paraId="55DB0B76" w14:textId="6B47A236" w:rsidR="009C01EA" w:rsidRPr="000677A0" w:rsidRDefault="009C01EA" w:rsidP="000677A0">
                      <w:pPr>
                        <w:pStyle w:val="Heading2"/>
                        <w:pBdr>
                          <w:bottom w:val="single" w:sz="18" w:space="1" w:color="92278F" w:themeColor="accent1"/>
                        </w:pBdr>
                      </w:pPr>
                      <w:bookmarkStart w:id="28" w:name="_Toc451516205"/>
                      <w:bookmarkStart w:id="29" w:name="_Toc451857525"/>
                      <w:bookmarkStart w:id="30" w:name="_Toc451857739"/>
                      <w:r w:rsidRPr="000677A0">
                        <w:t>RESOURCE:</w:t>
                      </w:r>
                      <w:r w:rsidR="000677A0" w:rsidRPr="000677A0">
                        <w:t xml:space="preserve"> </w:t>
                      </w:r>
                      <w:r w:rsidRPr="000677A0">
                        <w:t>Scholarship Databases</w:t>
                      </w:r>
                      <w:bookmarkEnd w:id="28"/>
                      <w:bookmarkEnd w:id="29"/>
                      <w:bookmarkEnd w:id="30"/>
                    </w:p>
                    <w:p w14:paraId="4F5388E8" w14:textId="77777777" w:rsidR="009C01EA" w:rsidRPr="000677A0" w:rsidRDefault="009C01EA" w:rsidP="005169A5">
                      <w:pPr>
                        <w:pStyle w:val="ListParagraph"/>
                        <w:numPr>
                          <w:ilvl w:val="0"/>
                          <w:numId w:val="31"/>
                        </w:numPr>
                        <w:ind w:left="360" w:hanging="180"/>
                        <w:rPr>
                          <w:sz w:val="24"/>
                          <w:szCs w:val="24"/>
                        </w:rPr>
                      </w:pPr>
                      <w:r w:rsidRPr="000677A0">
                        <w:rPr>
                          <w:sz w:val="24"/>
                          <w:szCs w:val="24"/>
                        </w:rPr>
                        <w:t xml:space="preserve">Human Rights Campaign’s LGBT Student Scholarship Database: </w:t>
                      </w:r>
                      <w:hyperlink r:id="rId39" w:history="1">
                        <w:r w:rsidRPr="000677A0">
                          <w:rPr>
                            <w:rStyle w:val="Hyperlink"/>
                            <w:sz w:val="24"/>
                            <w:szCs w:val="24"/>
                          </w:rPr>
                          <w:t>www.hrc.org/resources/scholarship-database</w:t>
                        </w:r>
                      </w:hyperlink>
                      <w:r w:rsidRPr="000677A0">
                        <w:rPr>
                          <w:sz w:val="24"/>
                          <w:szCs w:val="24"/>
                        </w:rPr>
                        <w:t xml:space="preserve">  </w:t>
                      </w:r>
                    </w:p>
                    <w:p w14:paraId="52B7FA5B" w14:textId="77777777" w:rsidR="009C01EA" w:rsidRPr="000677A0" w:rsidRDefault="009C01EA" w:rsidP="005169A5">
                      <w:pPr>
                        <w:pStyle w:val="ListParagraph"/>
                        <w:numPr>
                          <w:ilvl w:val="0"/>
                          <w:numId w:val="31"/>
                        </w:numPr>
                        <w:ind w:left="360" w:hanging="180"/>
                        <w:rPr>
                          <w:sz w:val="24"/>
                          <w:szCs w:val="24"/>
                        </w:rPr>
                      </w:pPr>
                      <w:r w:rsidRPr="000677A0">
                        <w:rPr>
                          <w:sz w:val="24"/>
                          <w:szCs w:val="24"/>
                        </w:rPr>
                        <w:t xml:space="preserve">Campus Pride National Scholarship Database: </w:t>
                      </w:r>
                      <w:hyperlink r:id="rId40" w:history="1">
                        <w:r w:rsidRPr="000677A0">
                          <w:rPr>
                            <w:rStyle w:val="Hyperlink"/>
                            <w:sz w:val="24"/>
                            <w:szCs w:val="24"/>
                          </w:rPr>
                          <w:t>www.campuspride.org/national-scholarship-database/</w:t>
                        </w:r>
                      </w:hyperlink>
                      <w:r w:rsidRPr="000677A0">
                        <w:rPr>
                          <w:sz w:val="24"/>
                          <w:szCs w:val="24"/>
                        </w:rPr>
                        <w:t xml:space="preserve"> </w:t>
                      </w:r>
                    </w:p>
                  </w:txbxContent>
                </v:textbox>
                <w10:wrap type="square" anchorx="margin" anchory="margin"/>
              </v:rect>
            </w:pict>
          </mc:Fallback>
        </mc:AlternateContent>
      </w:r>
      <w:r w:rsidR="006F0D2B" w:rsidRPr="000677A0">
        <w:rPr>
          <w:rFonts w:ascii="Tw Cen MT" w:hAnsi="Tw Cen MT"/>
          <w:sz w:val="24"/>
          <w:szCs w:val="24"/>
        </w:rPr>
        <w:t xml:space="preserve">There is no hard-and-fast rule with regards to being out during the application process. Ultimately, the choice to disclose an </w:t>
      </w:r>
      <w:r w:rsidR="00163FEC">
        <w:rPr>
          <w:rFonts w:ascii="Tw Cen MT" w:hAnsi="Tw Cen MT"/>
          <w:sz w:val="24"/>
          <w:szCs w:val="24"/>
        </w:rPr>
        <w:t>LGBTQ+</w:t>
      </w:r>
      <w:r w:rsidR="006F0D2B" w:rsidRPr="000677A0">
        <w:rPr>
          <w:rFonts w:ascii="Tw Cen MT" w:hAnsi="Tw Cen MT"/>
          <w:sz w:val="24"/>
          <w:szCs w:val="24"/>
        </w:rPr>
        <w:t xml:space="preserve"> identity to schools depends on the individual</w:t>
      </w:r>
      <w:r w:rsidR="00D43652" w:rsidRPr="000677A0">
        <w:rPr>
          <w:rFonts w:ascii="Tw Cen MT" w:hAnsi="Tw Cen MT"/>
          <w:sz w:val="24"/>
          <w:szCs w:val="24"/>
        </w:rPr>
        <w:t xml:space="preserve">. Many schools appreciate having the fullest possible sense of </w:t>
      </w:r>
      <w:proofErr w:type="gramStart"/>
      <w:r w:rsidR="00D43652" w:rsidRPr="000677A0">
        <w:rPr>
          <w:rFonts w:ascii="Tw Cen MT" w:hAnsi="Tw Cen MT"/>
          <w:sz w:val="24"/>
          <w:szCs w:val="24"/>
        </w:rPr>
        <w:t>all of</w:t>
      </w:r>
      <w:proofErr w:type="gramEnd"/>
      <w:r w:rsidR="00D43652" w:rsidRPr="000677A0">
        <w:rPr>
          <w:rFonts w:ascii="Tw Cen MT" w:hAnsi="Tw Cen MT"/>
          <w:sz w:val="24"/>
          <w:szCs w:val="24"/>
        </w:rPr>
        <w:t xml:space="preserve"> their applicants — including the fact that they are </w:t>
      </w:r>
      <w:r w:rsidR="00163FEC">
        <w:rPr>
          <w:rFonts w:ascii="Tw Cen MT" w:hAnsi="Tw Cen MT"/>
          <w:sz w:val="24"/>
          <w:szCs w:val="24"/>
        </w:rPr>
        <w:t>LGBTQ+</w:t>
      </w:r>
      <w:r w:rsidR="00D43652" w:rsidRPr="000677A0">
        <w:rPr>
          <w:rFonts w:ascii="Tw Cen MT" w:hAnsi="Tw Cen MT"/>
          <w:sz w:val="24"/>
          <w:szCs w:val="24"/>
        </w:rPr>
        <w:t xml:space="preserve">. </w:t>
      </w:r>
      <w:r w:rsidR="002C762B" w:rsidRPr="000677A0">
        <w:rPr>
          <w:rFonts w:ascii="Tw Cen MT" w:hAnsi="Tw Cen MT"/>
          <w:sz w:val="24"/>
          <w:szCs w:val="24"/>
        </w:rPr>
        <w:t>Ultimately,</w:t>
      </w:r>
      <w:r w:rsidR="0030692B" w:rsidRPr="000677A0">
        <w:rPr>
          <w:rFonts w:ascii="Tw Cen MT" w:hAnsi="Tw Cen MT"/>
          <w:sz w:val="24"/>
          <w:szCs w:val="24"/>
        </w:rPr>
        <w:t xml:space="preserve"> it is up to the individual to decide what they are most comfortable with disclosing, and the decision should be carefully considered in consultation with counselors and family members as </w:t>
      </w:r>
      <w:r w:rsidR="002C762B" w:rsidRPr="000677A0">
        <w:rPr>
          <w:rFonts w:ascii="Tw Cen MT" w:hAnsi="Tw Cen MT"/>
          <w:sz w:val="24"/>
          <w:szCs w:val="24"/>
        </w:rPr>
        <w:t>appropriate</w:t>
      </w:r>
      <w:r w:rsidR="0030692B" w:rsidRPr="000677A0">
        <w:rPr>
          <w:rFonts w:ascii="Tw Cen MT" w:hAnsi="Tw Cen MT"/>
          <w:sz w:val="24"/>
          <w:szCs w:val="24"/>
        </w:rPr>
        <w:t xml:space="preserve">. </w:t>
      </w:r>
      <w:r w:rsidR="005A52E0" w:rsidRPr="000677A0">
        <w:rPr>
          <w:rFonts w:ascii="Tw Cen MT" w:hAnsi="Tw Cen MT"/>
          <w:sz w:val="24"/>
          <w:szCs w:val="24"/>
        </w:rPr>
        <w:t>It is important to research all prospective institutions</w:t>
      </w:r>
      <w:r w:rsidR="0030692B" w:rsidRPr="000677A0">
        <w:rPr>
          <w:rFonts w:ascii="Tw Cen MT" w:hAnsi="Tw Cen MT"/>
          <w:sz w:val="24"/>
          <w:szCs w:val="24"/>
        </w:rPr>
        <w:t xml:space="preserve"> as part of this </w:t>
      </w:r>
      <w:r w:rsidR="00E1255E" w:rsidRPr="000677A0">
        <w:rPr>
          <w:rFonts w:ascii="Tw Cen MT" w:hAnsi="Tw Cen MT"/>
          <w:sz w:val="24"/>
          <w:szCs w:val="24"/>
        </w:rPr>
        <w:t>decision-making</w:t>
      </w:r>
      <w:r w:rsidR="0030692B" w:rsidRPr="000677A0">
        <w:rPr>
          <w:rFonts w:ascii="Tw Cen MT" w:hAnsi="Tw Cen MT"/>
          <w:sz w:val="24"/>
          <w:szCs w:val="24"/>
        </w:rPr>
        <w:t xml:space="preserve"> process</w:t>
      </w:r>
      <w:r w:rsidR="005A52E0" w:rsidRPr="000677A0">
        <w:rPr>
          <w:rFonts w:ascii="Tw Cen MT" w:hAnsi="Tw Cen MT"/>
          <w:sz w:val="24"/>
          <w:szCs w:val="24"/>
        </w:rPr>
        <w:t xml:space="preserve">. </w:t>
      </w:r>
    </w:p>
    <w:p w14:paraId="4AEA86F3" w14:textId="09E8D279" w:rsidR="0049490F" w:rsidRPr="000677A0" w:rsidRDefault="005E3764" w:rsidP="006F0D2B">
      <w:pPr>
        <w:pStyle w:val="NormalWeb"/>
        <w:jc w:val="left"/>
        <w:rPr>
          <w:rFonts w:ascii="Tw Cen MT" w:hAnsi="Tw Cen MT"/>
          <w:sz w:val="24"/>
          <w:szCs w:val="24"/>
        </w:rPr>
      </w:pPr>
      <w:r w:rsidRPr="000677A0">
        <w:rPr>
          <w:rFonts w:ascii="Tw Cen MT" w:hAnsi="Tw Cen MT"/>
          <w:sz w:val="24"/>
          <w:szCs w:val="24"/>
        </w:rPr>
        <w:t>In 2013, Washington State's community colleges added voluntary questions about sexual orientation and gender identity to all student registration forms. Students may share information about their sexual orientation and gender identit</w:t>
      </w:r>
      <w:r w:rsidR="00102EE5" w:rsidRPr="000677A0">
        <w:rPr>
          <w:rFonts w:ascii="Tw Cen MT" w:hAnsi="Tw Cen MT"/>
          <w:sz w:val="24"/>
          <w:szCs w:val="24"/>
        </w:rPr>
        <w:t>y</w:t>
      </w:r>
      <w:r w:rsidRPr="000677A0">
        <w:rPr>
          <w:rFonts w:ascii="Tw Cen MT" w:hAnsi="Tw Cen MT"/>
          <w:sz w:val="24"/>
          <w:szCs w:val="24"/>
        </w:rPr>
        <w:t xml:space="preserve"> at the time of registration. The data collected help</w:t>
      </w:r>
      <w:r w:rsidR="00102EE5" w:rsidRPr="000677A0">
        <w:rPr>
          <w:rFonts w:ascii="Tw Cen MT" w:hAnsi="Tw Cen MT"/>
          <w:sz w:val="24"/>
          <w:szCs w:val="24"/>
        </w:rPr>
        <w:t>s</w:t>
      </w:r>
      <w:r w:rsidRPr="000677A0">
        <w:rPr>
          <w:rFonts w:ascii="Tw Cen MT" w:hAnsi="Tw Cen MT"/>
          <w:sz w:val="24"/>
          <w:szCs w:val="24"/>
        </w:rPr>
        <w:t xml:space="preserve"> two-year schools promote a welcoming campus, enhance programs and services, better track students' progress and success and assist in promoting a safe and inclusive learning environment for </w:t>
      </w:r>
      <w:r w:rsidR="00163FEC">
        <w:rPr>
          <w:rFonts w:ascii="Tw Cen MT" w:hAnsi="Tw Cen MT"/>
          <w:sz w:val="24"/>
          <w:szCs w:val="24"/>
        </w:rPr>
        <w:t>LGBTQ+</w:t>
      </w:r>
      <w:r w:rsidRPr="000677A0">
        <w:rPr>
          <w:rFonts w:ascii="Tw Cen MT" w:hAnsi="Tw Cen MT"/>
          <w:sz w:val="24"/>
          <w:szCs w:val="24"/>
        </w:rPr>
        <w:t xml:space="preserve"> students enrolled in the Community and Technical College (CTC) system.</w:t>
      </w:r>
    </w:p>
    <w:p w14:paraId="48700AFA" w14:textId="77777777" w:rsidR="006F0D2B" w:rsidRPr="00CA2AEC" w:rsidRDefault="006F0D2B" w:rsidP="00704FC6">
      <w:pPr>
        <w:pStyle w:val="Heading3"/>
        <w:rPr>
          <w:sz w:val="28"/>
        </w:rPr>
      </w:pPr>
      <w:bookmarkStart w:id="22" w:name="_Toc451516207"/>
      <w:bookmarkStart w:id="23" w:name="_Toc451857741"/>
      <w:r w:rsidRPr="00CA2AEC">
        <w:rPr>
          <w:rStyle w:val="Heading2Char"/>
          <w:color w:val="404040" w:themeColor="text1" w:themeTint="BF"/>
          <w:szCs w:val="26"/>
        </w:rPr>
        <w:t xml:space="preserve">You </w:t>
      </w:r>
      <w:r w:rsidR="000C7517" w:rsidRPr="00CA2AEC">
        <w:rPr>
          <w:rStyle w:val="Heading2Char"/>
          <w:color w:val="404040" w:themeColor="text1" w:themeTint="BF"/>
          <w:szCs w:val="26"/>
        </w:rPr>
        <w:t xml:space="preserve">Can, But Don’t Need To, Come Out </w:t>
      </w:r>
      <w:proofErr w:type="gramStart"/>
      <w:r w:rsidR="000C7517" w:rsidRPr="00CA2AEC">
        <w:rPr>
          <w:rStyle w:val="Heading2Char"/>
          <w:color w:val="404040" w:themeColor="text1" w:themeTint="BF"/>
          <w:szCs w:val="26"/>
        </w:rPr>
        <w:t>In</w:t>
      </w:r>
      <w:proofErr w:type="gramEnd"/>
      <w:r w:rsidR="000C7517" w:rsidRPr="00CA2AEC">
        <w:rPr>
          <w:rStyle w:val="Heading2Char"/>
          <w:color w:val="404040" w:themeColor="text1" w:themeTint="BF"/>
          <w:szCs w:val="26"/>
        </w:rPr>
        <w:t xml:space="preserve"> Your Essay</w:t>
      </w:r>
      <w:bookmarkEnd w:id="22"/>
      <w:bookmarkEnd w:id="23"/>
    </w:p>
    <w:p w14:paraId="0D6201F3" w14:textId="503671FE" w:rsidR="006F0D2B" w:rsidRPr="000677A0" w:rsidRDefault="006F0D2B" w:rsidP="006F0D2B">
      <w:pPr>
        <w:pStyle w:val="NormalWeb"/>
        <w:spacing w:after="0"/>
        <w:jc w:val="left"/>
        <w:rPr>
          <w:rFonts w:ascii="Tw Cen MT" w:hAnsi="Tw Cen MT"/>
          <w:sz w:val="24"/>
          <w:szCs w:val="20"/>
        </w:rPr>
      </w:pPr>
      <w:r w:rsidRPr="000677A0">
        <w:rPr>
          <w:rFonts w:ascii="Tw Cen MT" w:hAnsi="Tw Cen MT"/>
          <w:sz w:val="24"/>
          <w:szCs w:val="20"/>
        </w:rPr>
        <w:t xml:space="preserve">While some </w:t>
      </w:r>
      <w:r w:rsidR="00163FEC">
        <w:rPr>
          <w:rFonts w:ascii="Tw Cen MT" w:hAnsi="Tw Cen MT"/>
          <w:sz w:val="24"/>
          <w:szCs w:val="20"/>
        </w:rPr>
        <w:t>LGBTQ+</w:t>
      </w:r>
      <w:r w:rsidRPr="000677A0">
        <w:rPr>
          <w:rFonts w:ascii="Tw Cen MT" w:hAnsi="Tw Cen MT"/>
          <w:sz w:val="24"/>
          <w:szCs w:val="20"/>
        </w:rPr>
        <w:t xml:space="preserve"> students write their </w:t>
      </w:r>
      <w:r w:rsidR="005A52E0" w:rsidRPr="000677A0">
        <w:rPr>
          <w:rFonts w:ascii="Tw Cen MT" w:hAnsi="Tw Cen MT"/>
          <w:sz w:val="24"/>
          <w:szCs w:val="20"/>
        </w:rPr>
        <w:t>a</w:t>
      </w:r>
      <w:r w:rsidRPr="000677A0">
        <w:rPr>
          <w:rFonts w:ascii="Tw Cen MT" w:hAnsi="Tw Cen MT"/>
          <w:sz w:val="24"/>
          <w:szCs w:val="20"/>
        </w:rPr>
        <w:t xml:space="preserve">pplication essay on a topic related to their sexual orientation or gender identity, there are other ways to come out to admissions staff in </w:t>
      </w:r>
      <w:r w:rsidR="00D43652" w:rsidRPr="000677A0">
        <w:rPr>
          <w:rFonts w:ascii="Tw Cen MT" w:hAnsi="Tw Cen MT"/>
          <w:sz w:val="24"/>
          <w:szCs w:val="20"/>
        </w:rPr>
        <w:t>an</w:t>
      </w:r>
      <w:r w:rsidRPr="000677A0">
        <w:rPr>
          <w:rFonts w:ascii="Tw Cen MT" w:hAnsi="Tw Cen MT"/>
          <w:sz w:val="24"/>
          <w:szCs w:val="20"/>
        </w:rPr>
        <w:t xml:space="preserve"> application. For example, there </w:t>
      </w:r>
      <w:r w:rsidR="005A52E0" w:rsidRPr="000677A0">
        <w:rPr>
          <w:rFonts w:ascii="Tw Cen MT" w:hAnsi="Tw Cen MT"/>
          <w:sz w:val="24"/>
          <w:szCs w:val="20"/>
        </w:rPr>
        <w:t>may be</w:t>
      </w:r>
      <w:r w:rsidRPr="000677A0">
        <w:rPr>
          <w:rFonts w:ascii="Tw Cen MT" w:hAnsi="Tw Cen MT"/>
          <w:sz w:val="24"/>
          <w:szCs w:val="20"/>
        </w:rPr>
        <w:t xml:space="preserve"> a small “Personal Statement” section on the </w:t>
      </w:r>
      <w:r w:rsidR="005A52E0" w:rsidRPr="000677A0">
        <w:rPr>
          <w:rFonts w:ascii="Tw Cen MT" w:hAnsi="Tw Cen MT"/>
          <w:sz w:val="24"/>
          <w:szCs w:val="20"/>
        </w:rPr>
        <w:t>application</w:t>
      </w:r>
      <w:r w:rsidRPr="000677A0">
        <w:rPr>
          <w:rFonts w:ascii="Tw Cen MT" w:hAnsi="Tw Cen MT"/>
          <w:sz w:val="24"/>
          <w:szCs w:val="20"/>
        </w:rPr>
        <w:t xml:space="preserve"> where </w:t>
      </w:r>
      <w:r w:rsidR="00D43652" w:rsidRPr="000677A0">
        <w:rPr>
          <w:rFonts w:ascii="Tw Cen MT" w:hAnsi="Tw Cen MT"/>
          <w:sz w:val="24"/>
          <w:szCs w:val="20"/>
        </w:rPr>
        <w:t>students</w:t>
      </w:r>
      <w:r w:rsidRPr="000677A0">
        <w:rPr>
          <w:rFonts w:ascii="Tw Cen MT" w:hAnsi="Tw Cen MT"/>
          <w:sz w:val="24"/>
          <w:szCs w:val="20"/>
        </w:rPr>
        <w:t xml:space="preserve"> can write about </w:t>
      </w:r>
      <w:r w:rsidR="00D43652" w:rsidRPr="000677A0">
        <w:rPr>
          <w:rFonts w:ascii="Tw Cen MT" w:hAnsi="Tw Cen MT"/>
          <w:sz w:val="24"/>
          <w:szCs w:val="20"/>
        </w:rPr>
        <w:t>thei</w:t>
      </w:r>
      <w:r w:rsidRPr="000677A0">
        <w:rPr>
          <w:rFonts w:ascii="Tw Cen MT" w:hAnsi="Tw Cen MT"/>
          <w:sz w:val="24"/>
          <w:szCs w:val="20"/>
        </w:rPr>
        <w:t xml:space="preserve">r </w:t>
      </w:r>
      <w:r w:rsidR="00163FEC">
        <w:rPr>
          <w:rFonts w:ascii="Tw Cen MT" w:hAnsi="Tw Cen MT"/>
          <w:sz w:val="24"/>
          <w:szCs w:val="20"/>
        </w:rPr>
        <w:t xml:space="preserve">LGBTQ+ </w:t>
      </w:r>
      <w:r w:rsidRPr="000677A0">
        <w:rPr>
          <w:rFonts w:ascii="Tw Cen MT" w:hAnsi="Tw Cen MT"/>
          <w:sz w:val="24"/>
          <w:szCs w:val="20"/>
        </w:rPr>
        <w:t xml:space="preserve">identity, or </w:t>
      </w:r>
      <w:r w:rsidR="00D43652" w:rsidRPr="000677A0">
        <w:rPr>
          <w:rFonts w:ascii="Tw Cen MT" w:hAnsi="Tw Cen MT"/>
          <w:sz w:val="24"/>
          <w:szCs w:val="20"/>
        </w:rPr>
        <w:t>they</w:t>
      </w:r>
      <w:r w:rsidRPr="000677A0">
        <w:rPr>
          <w:rFonts w:ascii="Tw Cen MT" w:hAnsi="Tw Cen MT"/>
          <w:sz w:val="24"/>
          <w:szCs w:val="20"/>
        </w:rPr>
        <w:t xml:space="preserve"> can use the “Additional Information” section to note </w:t>
      </w:r>
      <w:r w:rsidR="00D43652" w:rsidRPr="000677A0">
        <w:rPr>
          <w:rFonts w:ascii="Tw Cen MT" w:hAnsi="Tw Cen MT"/>
          <w:sz w:val="24"/>
          <w:szCs w:val="20"/>
        </w:rPr>
        <w:t>their</w:t>
      </w:r>
      <w:r w:rsidRPr="000677A0">
        <w:rPr>
          <w:rFonts w:ascii="Tw Cen MT" w:hAnsi="Tw Cen MT"/>
          <w:sz w:val="24"/>
          <w:szCs w:val="20"/>
        </w:rPr>
        <w:t xml:space="preserve"> orientation or identity. Some schools will also allow </w:t>
      </w:r>
      <w:r w:rsidR="00D43652" w:rsidRPr="000677A0">
        <w:rPr>
          <w:rFonts w:ascii="Tw Cen MT" w:hAnsi="Tw Cen MT"/>
          <w:sz w:val="24"/>
          <w:szCs w:val="20"/>
        </w:rPr>
        <w:t>students</w:t>
      </w:r>
      <w:r w:rsidRPr="000677A0">
        <w:rPr>
          <w:rFonts w:ascii="Tw Cen MT" w:hAnsi="Tw Cen MT"/>
          <w:sz w:val="24"/>
          <w:szCs w:val="20"/>
        </w:rPr>
        <w:t xml:space="preserve"> to disclose </w:t>
      </w:r>
      <w:r w:rsidR="00163FEC">
        <w:rPr>
          <w:rFonts w:ascii="Tw Cen MT" w:hAnsi="Tw Cen MT"/>
          <w:sz w:val="24"/>
          <w:szCs w:val="20"/>
        </w:rPr>
        <w:t>LGBTQ+</w:t>
      </w:r>
      <w:r w:rsidRPr="000677A0">
        <w:rPr>
          <w:rFonts w:ascii="Tw Cen MT" w:hAnsi="Tw Cen MT"/>
          <w:sz w:val="24"/>
          <w:szCs w:val="20"/>
        </w:rPr>
        <w:t xml:space="preserve"> identity in their supplement.</w:t>
      </w:r>
      <w:r w:rsidR="0030692B" w:rsidRPr="000677A0">
        <w:rPr>
          <w:rFonts w:ascii="Tw Cen MT" w:hAnsi="Tw Cen MT"/>
          <w:sz w:val="24"/>
          <w:szCs w:val="20"/>
        </w:rPr>
        <w:t xml:space="preserve"> Again, this is a choice made best by the in</w:t>
      </w:r>
      <w:r w:rsidR="00102EE5" w:rsidRPr="000677A0">
        <w:rPr>
          <w:rFonts w:ascii="Tw Cen MT" w:hAnsi="Tw Cen MT"/>
          <w:sz w:val="24"/>
          <w:szCs w:val="20"/>
        </w:rPr>
        <w:t>dividual. It i</w:t>
      </w:r>
      <w:r w:rsidR="0030692B" w:rsidRPr="000677A0">
        <w:rPr>
          <w:rFonts w:ascii="Tw Cen MT" w:hAnsi="Tw Cen MT"/>
          <w:sz w:val="24"/>
          <w:szCs w:val="20"/>
        </w:rPr>
        <w:t xml:space="preserve">s not required that </w:t>
      </w:r>
      <w:r w:rsidR="00102EE5" w:rsidRPr="000677A0">
        <w:rPr>
          <w:rFonts w:ascii="Tw Cen MT" w:hAnsi="Tw Cen MT"/>
          <w:sz w:val="24"/>
          <w:szCs w:val="20"/>
        </w:rPr>
        <w:t>students</w:t>
      </w:r>
      <w:r w:rsidR="0030692B" w:rsidRPr="000677A0">
        <w:rPr>
          <w:rFonts w:ascii="Tw Cen MT" w:hAnsi="Tw Cen MT"/>
          <w:sz w:val="24"/>
          <w:szCs w:val="20"/>
        </w:rPr>
        <w:t xml:space="preserve"> disclose if </w:t>
      </w:r>
      <w:r w:rsidR="00102EE5" w:rsidRPr="000677A0">
        <w:rPr>
          <w:rFonts w:ascii="Tw Cen MT" w:hAnsi="Tw Cen MT"/>
          <w:sz w:val="24"/>
          <w:szCs w:val="20"/>
        </w:rPr>
        <w:t>they</w:t>
      </w:r>
      <w:r w:rsidR="0030692B" w:rsidRPr="000677A0">
        <w:rPr>
          <w:rFonts w:ascii="Tw Cen MT" w:hAnsi="Tw Cen MT"/>
          <w:sz w:val="24"/>
          <w:szCs w:val="20"/>
        </w:rPr>
        <w:t xml:space="preserve"> are not comfortable doing so. </w:t>
      </w:r>
    </w:p>
    <w:p w14:paraId="03F174B0" w14:textId="77777777" w:rsidR="006F0D2B" w:rsidRPr="000677A0" w:rsidRDefault="006F0D2B" w:rsidP="006F0D2B">
      <w:pPr>
        <w:pStyle w:val="NormalWeb"/>
        <w:spacing w:after="0"/>
        <w:jc w:val="left"/>
        <w:rPr>
          <w:rStyle w:val="Strong"/>
          <w:rFonts w:ascii="Tw Cen MT" w:eastAsia="Calibri" w:hAnsi="Tw Cen MT"/>
          <w:sz w:val="24"/>
          <w:szCs w:val="20"/>
        </w:rPr>
      </w:pPr>
    </w:p>
    <w:p w14:paraId="61163A42" w14:textId="77777777" w:rsidR="006F0D2B" w:rsidRPr="00CA2AEC" w:rsidRDefault="006F0D2B" w:rsidP="00704FC6">
      <w:pPr>
        <w:pStyle w:val="Heading3"/>
        <w:rPr>
          <w:sz w:val="28"/>
        </w:rPr>
      </w:pPr>
      <w:bookmarkStart w:id="24" w:name="_Toc451516208"/>
      <w:bookmarkStart w:id="25" w:name="_Toc451857742"/>
      <w:r w:rsidRPr="00CA2AEC">
        <w:rPr>
          <w:rStyle w:val="Strong"/>
          <w:rFonts w:ascii="Tw Cen MT" w:hAnsi="Tw Cen MT"/>
          <w:b w:val="0"/>
          <w:sz w:val="28"/>
        </w:rPr>
        <w:lastRenderedPageBreak/>
        <w:t xml:space="preserve">It </w:t>
      </w:r>
      <w:r w:rsidR="000C7517" w:rsidRPr="00CA2AEC">
        <w:rPr>
          <w:rStyle w:val="Strong"/>
          <w:rFonts w:ascii="Tw Cen MT" w:hAnsi="Tw Cen MT"/>
          <w:b w:val="0"/>
          <w:sz w:val="28"/>
        </w:rPr>
        <w:t xml:space="preserve">Is Possible </w:t>
      </w:r>
      <w:proofErr w:type="gramStart"/>
      <w:r w:rsidR="000C7517" w:rsidRPr="00CA2AEC">
        <w:rPr>
          <w:rStyle w:val="Strong"/>
          <w:rFonts w:ascii="Tw Cen MT" w:hAnsi="Tw Cen MT"/>
          <w:b w:val="0"/>
          <w:sz w:val="28"/>
        </w:rPr>
        <w:t>To</w:t>
      </w:r>
      <w:proofErr w:type="gramEnd"/>
      <w:r w:rsidR="000C7517" w:rsidRPr="00CA2AEC">
        <w:rPr>
          <w:rStyle w:val="Strong"/>
          <w:rFonts w:ascii="Tw Cen MT" w:hAnsi="Tw Cen MT"/>
          <w:b w:val="0"/>
          <w:sz w:val="28"/>
        </w:rPr>
        <w:t xml:space="preserve"> Be Out To Admissions Staff Members But Not Your Family</w:t>
      </w:r>
      <w:bookmarkEnd w:id="24"/>
      <w:bookmarkEnd w:id="25"/>
    </w:p>
    <w:p w14:paraId="2CC5EA44" w14:textId="685E8C36" w:rsidR="006F0D2B" w:rsidRPr="000677A0" w:rsidRDefault="00807B44" w:rsidP="006F0D2B">
      <w:pPr>
        <w:pStyle w:val="NormalWeb"/>
        <w:spacing w:after="0"/>
        <w:jc w:val="left"/>
        <w:rPr>
          <w:rFonts w:ascii="Tw Cen MT" w:hAnsi="Tw Cen MT"/>
          <w:sz w:val="24"/>
          <w:szCs w:val="24"/>
        </w:rPr>
      </w:pPr>
      <w:r w:rsidRPr="000677A0">
        <w:rPr>
          <w:rFonts w:ascii="Tw Cen MT" w:hAnsi="Tw Cen MT"/>
          <w:sz w:val="24"/>
          <w:szCs w:val="24"/>
        </w:rPr>
        <w:t>N</w:t>
      </w:r>
      <w:r w:rsidR="006F0D2B" w:rsidRPr="000677A0">
        <w:rPr>
          <w:rFonts w:ascii="Tw Cen MT" w:hAnsi="Tw Cen MT"/>
          <w:sz w:val="24"/>
          <w:szCs w:val="24"/>
        </w:rPr>
        <w:t xml:space="preserve">ot everyone comes out before </w:t>
      </w:r>
      <w:r w:rsidRPr="000677A0">
        <w:rPr>
          <w:rFonts w:ascii="Tw Cen MT" w:hAnsi="Tw Cen MT"/>
          <w:sz w:val="24"/>
          <w:szCs w:val="24"/>
        </w:rPr>
        <w:t>leaving</w:t>
      </w:r>
      <w:r w:rsidR="006F0D2B" w:rsidRPr="000677A0">
        <w:rPr>
          <w:rFonts w:ascii="Tw Cen MT" w:hAnsi="Tw Cen MT"/>
          <w:sz w:val="24"/>
          <w:szCs w:val="24"/>
        </w:rPr>
        <w:t xml:space="preserve"> high school</w:t>
      </w:r>
      <w:r w:rsidRPr="000677A0">
        <w:rPr>
          <w:rFonts w:ascii="Tw Cen MT" w:hAnsi="Tw Cen MT"/>
          <w:sz w:val="24"/>
          <w:szCs w:val="24"/>
        </w:rPr>
        <w:t xml:space="preserve"> for a variety of reasons. </w:t>
      </w:r>
      <w:r w:rsidR="00163FEC">
        <w:rPr>
          <w:rFonts w:ascii="Tw Cen MT" w:hAnsi="Tw Cen MT"/>
          <w:sz w:val="24"/>
          <w:szCs w:val="24"/>
        </w:rPr>
        <w:t>LGBTQ+</w:t>
      </w:r>
      <w:r w:rsidRPr="000677A0">
        <w:rPr>
          <w:rFonts w:ascii="Tw Cen MT" w:hAnsi="Tw Cen MT"/>
          <w:sz w:val="24"/>
          <w:szCs w:val="24"/>
        </w:rPr>
        <w:t xml:space="preserve"> students not currently out to their family </w:t>
      </w:r>
      <w:r w:rsidR="008F7908" w:rsidRPr="000677A0">
        <w:rPr>
          <w:rFonts w:ascii="Tw Cen MT" w:hAnsi="Tw Cen MT"/>
          <w:sz w:val="24"/>
          <w:szCs w:val="24"/>
        </w:rPr>
        <w:t xml:space="preserve">may want to consider </w:t>
      </w:r>
      <w:proofErr w:type="gramStart"/>
      <w:r w:rsidR="008F7908" w:rsidRPr="000677A0">
        <w:rPr>
          <w:rFonts w:ascii="Tw Cen MT" w:hAnsi="Tw Cen MT"/>
          <w:sz w:val="24"/>
          <w:szCs w:val="24"/>
        </w:rPr>
        <w:t>whether or not</w:t>
      </w:r>
      <w:proofErr w:type="gramEnd"/>
      <w:r w:rsidR="008F7908" w:rsidRPr="000677A0">
        <w:rPr>
          <w:rFonts w:ascii="Tw Cen MT" w:hAnsi="Tw Cen MT"/>
          <w:sz w:val="24"/>
          <w:szCs w:val="24"/>
        </w:rPr>
        <w:t xml:space="preserve"> they want to come out in their written application materials</w:t>
      </w:r>
      <w:r w:rsidRPr="000677A0">
        <w:rPr>
          <w:rFonts w:ascii="Tw Cen MT" w:hAnsi="Tw Cen MT"/>
          <w:sz w:val="24"/>
          <w:szCs w:val="24"/>
        </w:rPr>
        <w:t xml:space="preserve">. If students </w:t>
      </w:r>
      <w:r w:rsidR="008F7908" w:rsidRPr="000677A0">
        <w:rPr>
          <w:rFonts w:ascii="Tw Cen MT" w:hAnsi="Tw Cen MT"/>
          <w:sz w:val="24"/>
          <w:szCs w:val="24"/>
        </w:rPr>
        <w:t xml:space="preserve">chose </w:t>
      </w:r>
      <w:r w:rsidR="005A52E0" w:rsidRPr="000677A0">
        <w:rPr>
          <w:rFonts w:ascii="Tw Cen MT" w:hAnsi="Tw Cen MT"/>
          <w:sz w:val="24"/>
          <w:szCs w:val="24"/>
        </w:rPr>
        <w:t>not to disclose</w:t>
      </w:r>
      <w:r w:rsidRPr="000677A0">
        <w:rPr>
          <w:rFonts w:ascii="Tw Cen MT" w:hAnsi="Tw Cen MT"/>
          <w:sz w:val="24"/>
          <w:szCs w:val="24"/>
        </w:rPr>
        <w:t xml:space="preserve"> information </w:t>
      </w:r>
      <w:r w:rsidR="006F0D2B" w:rsidRPr="000677A0">
        <w:rPr>
          <w:rFonts w:ascii="Tw Cen MT" w:hAnsi="Tw Cen MT"/>
          <w:sz w:val="24"/>
          <w:szCs w:val="24"/>
        </w:rPr>
        <w:t xml:space="preserve">to admissions through </w:t>
      </w:r>
      <w:r w:rsidR="00D43652" w:rsidRPr="000677A0">
        <w:rPr>
          <w:rFonts w:ascii="Tw Cen MT" w:hAnsi="Tw Cen MT"/>
          <w:sz w:val="24"/>
          <w:szCs w:val="24"/>
        </w:rPr>
        <w:t>the</w:t>
      </w:r>
      <w:r w:rsidR="006F0D2B" w:rsidRPr="000677A0">
        <w:rPr>
          <w:rFonts w:ascii="Tw Cen MT" w:hAnsi="Tw Cen MT"/>
          <w:sz w:val="24"/>
          <w:szCs w:val="24"/>
        </w:rPr>
        <w:t xml:space="preserve"> written application, </w:t>
      </w:r>
      <w:r w:rsidR="008F7908" w:rsidRPr="000677A0">
        <w:rPr>
          <w:rFonts w:ascii="Tw Cen MT" w:hAnsi="Tw Cen MT"/>
          <w:sz w:val="24"/>
          <w:szCs w:val="24"/>
        </w:rPr>
        <w:t xml:space="preserve">they may opt </w:t>
      </w:r>
      <w:r w:rsidR="00D43652" w:rsidRPr="000677A0">
        <w:rPr>
          <w:rFonts w:ascii="Tw Cen MT" w:hAnsi="Tw Cen MT"/>
          <w:sz w:val="24"/>
          <w:szCs w:val="24"/>
        </w:rPr>
        <w:t xml:space="preserve">to </w:t>
      </w:r>
      <w:r w:rsidR="006F0D2B" w:rsidRPr="000677A0">
        <w:rPr>
          <w:rFonts w:ascii="Tw Cen MT" w:hAnsi="Tw Cen MT"/>
          <w:sz w:val="24"/>
          <w:szCs w:val="24"/>
        </w:rPr>
        <w:t>call admissions officers at a school or come out during an interview with a staff member. </w:t>
      </w:r>
    </w:p>
    <w:p w14:paraId="3FB908F2" w14:textId="77777777" w:rsidR="00741DE9" w:rsidRPr="000677A0" w:rsidRDefault="00741DE9" w:rsidP="006F0D2B">
      <w:pPr>
        <w:pStyle w:val="NormalWeb"/>
        <w:spacing w:after="0"/>
        <w:jc w:val="left"/>
        <w:rPr>
          <w:rStyle w:val="Strong"/>
          <w:rFonts w:ascii="Tw Cen MT" w:eastAsia="Calibri" w:hAnsi="Tw Cen MT"/>
          <w:sz w:val="24"/>
          <w:szCs w:val="24"/>
        </w:rPr>
      </w:pPr>
    </w:p>
    <w:p w14:paraId="38990860" w14:textId="77777777" w:rsidR="006F0D2B" w:rsidRPr="00CA2AEC" w:rsidRDefault="006F0D2B" w:rsidP="00704FC6">
      <w:pPr>
        <w:pStyle w:val="Heading3"/>
        <w:rPr>
          <w:sz w:val="28"/>
        </w:rPr>
      </w:pPr>
      <w:bookmarkStart w:id="26" w:name="_Toc451516209"/>
      <w:bookmarkStart w:id="27" w:name="_Toc451857529"/>
      <w:bookmarkStart w:id="28" w:name="_Toc451857743"/>
      <w:r w:rsidRPr="00CA2AEC">
        <w:rPr>
          <w:rStyle w:val="Strong"/>
          <w:rFonts w:ascii="Tw Cen MT" w:hAnsi="Tw Cen MT"/>
          <w:b w:val="0"/>
          <w:sz w:val="28"/>
        </w:rPr>
        <w:t>Conclusion</w:t>
      </w:r>
      <w:bookmarkEnd w:id="26"/>
      <w:bookmarkEnd w:id="27"/>
      <w:bookmarkEnd w:id="28"/>
    </w:p>
    <w:p w14:paraId="61E32A42" w14:textId="0CE1120F" w:rsidR="006F0D2B" w:rsidRPr="000677A0" w:rsidRDefault="006F0D2B" w:rsidP="006F0D2B">
      <w:pPr>
        <w:pStyle w:val="NormalWeb"/>
        <w:spacing w:after="0"/>
        <w:jc w:val="left"/>
        <w:rPr>
          <w:rFonts w:ascii="Tw Cen MT" w:hAnsi="Tw Cen MT"/>
          <w:sz w:val="24"/>
          <w:szCs w:val="20"/>
        </w:rPr>
      </w:pPr>
      <w:r w:rsidRPr="000677A0">
        <w:rPr>
          <w:rFonts w:ascii="Tw Cen MT" w:hAnsi="Tw Cen MT"/>
          <w:sz w:val="24"/>
          <w:szCs w:val="20"/>
        </w:rPr>
        <w:t>As you</w:t>
      </w:r>
      <w:r w:rsidR="00D877F6" w:rsidRPr="000677A0">
        <w:rPr>
          <w:rFonts w:ascii="Tw Cen MT" w:hAnsi="Tw Cen MT"/>
          <w:sz w:val="24"/>
          <w:szCs w:val="20"/>
        </w:rPr>
        <w:t xml:space="preserve"> help students</w:t>
      </w:r>
      <w:r w:rsidRPr="000677A0">
        <w:rPr>
          <w:rFonts w:ascii="Tw Cen MT" w:hAnsi="Tw Cen MT"/>
          <w:sz w:val="24"/>
          <w:szCs w:val="20"/>
        </w:rPr>
        <w:t xml:space="preserve"> go through the college process, </w:t>
      </w:r>
      <w:r w:rsidR="00D877F6" w:rsidRPr="000677A0">
        <w:rPr>
          <w:rFonts w:ascii="Tw Cen MT" w:hAnsi="Tw Cen MT"/>
          <w:sz w:val="24"/>
          <w:szCs w:val="20"/>
        </w:rPr>
        <w:t xml:space="preserve">remind students to </w:t>
      </w:r>
      <w:r w:rsidRPr="000677A0">
        <w:rPr>
          <w:rFonts w:ascii="Tw Cen MT" w:hAnsi="Tw Cen MT"/>
          <w:sz w:val="24"/>
          <w:szCs w:val="20"/>
        </w:rPr>
        <w:t xml:space="preserve">look for a school where </w:t>
      </w:r>
      <w:r w:rsidR="00D877F6" w:rsidRPr="000677A0">
        <w:rPr>
          <w:rFonts w:ascii="Tw Cen MT" w:hAnsi="Tw Cen MT"/>
          <w:sz w:val="24"/>
          <w:szCs w:val="20"/>
        </w:rPr>
        <w:t xml:space="preserve">they will </w:t>
      </w:r>
      <w:r w:rsidRPr="000677A0">
        <w:rPr>
          <w:rFonts w:ascii="Tw Cen MT" w:hAnsi="Tw Cen MT"/>
          <w:sz w:val="24"/>
          <w:szCs w:val="20"/>
        </w:rPr>
        <w:t xml:space="preserve">feel comfortable academically and socially. It is </w:t>
      </w:r>
      <w:r w:rsidR="00D877F6" w:rsidRPr="000677A0">
        <w:rPr>
          <w:rFonts w:ascii="Tw Cen MT" w:hAnsi="Tw Cen MT"/>
          <w:sz w:val="24"/>
          <w:szCs w:val="20"/>
        </w:rPr>
        <w:t xml:space="preserve">also </w:t>
      </w:r>
      <w:r w:rsidRPr="000677A0">
        <w:rPr>
          <w:rFonts w:ascii="Tw Cen MT" w:hAnsi="Tw Cen MT"/>
          <w:sz w:val="24"/>
          <w:szCs w:val="20"/>
        </w:rPr>
        <w:t xml:space="preserve">important </w:t>
      </w:r>
      <w:r w:rsidR="00D877F6" w:rsidRPr="000677A0">
        <w:rPr>
          <w:rFonts w:ascii="Tw Cen MT" w:hAnsi="Tw Cen MT"/>
          <w:sz w:val="24"/>
          <w:szCs w:val="20"/>
        </w:rPr>
        <w:t xml:space="preserve">for students to </w:t>
      </w:r>
      <w:r w:rsidRPr="000677A0">
        <w:rPr>
          <w:rFonts w:ascii="Tw Cen MT" w:hAnsi="Tw Cen MT"/>
          <w:sz w:val="24"/>
          <w:szCs w:val="20"/>
        </w:rPr>
        <w:t xml:space="preserve">consider how </w:t>
      </w:r>
      <w:r w:rsidR="00D877F6" w:rsidRPr="000677A0">
        <w:rPr>
          <w:rFonts w:ascii="Tw Cen MT" w:hAnsi="Tw Cen MT"/>
          <w:sz w:val="24"/>
          <w:szCs w:val="20"/>
        </w:rPr>
        <w:t xml:space="preserve">the college that they select will accept their </w:t>
      </w:r>
      <w:r w:rsidR="00163FEC">
        <w:rPr>
          <w:rFonts w:ascii="Tw Cen MT" w:hAnsi="Tw Cen MT"/>
          <w:sz w:val="24"/>
          <w:szCs w:val="20"/>
        </w:rPr>
        <w:t>LGBTQ+</w:t>
      </w:r>
      <w:r w:rsidR="00D877F6" w:rsidRPr="000677A0">
        <w:rPr>
          <w:rFonts w:ascii="Tw Cen MT" w:hAnsi="Tw Cen MT"/>
          <w:sz w:val="24"/>
          <w:szCs w:val="20"/>
        </w:rPr>
        <w:t xml:space="preserve"> identity</w:t>
      </w:r>
      <w:r w:rsidR="008F7908" w:rsidRPr="000677A0">
        <w:rPr>
          <w:rFonts w:ascii="Tw Cen MT" w:hAnsi="Tw Cen MT"/>
          <w:sz w:val="24"/>
          <w:szCs w:val="20"/>
        </w:rPr>
        <w:t>, and the support services that will be available to them.</w:t>
      </w:r>
    </w:p>
    <w:p w14:paraId="62D90895" w14:textId="77777777" w:rsidR="006C0B61" w:rsidRPr="000677A0" w:rsidRDefault="006C0B61" w:rsidP="006C0B61">
      <w:pPr>
        <w:pStyle w:val="NormalWeb"/>
        <w:spacing w:after="0"/>
        <w:jc w:val="left"/>
        <w:rPr>
          <w:rFonts w:ascii="Tw Cen MT" w:hAnsi="Tw Cen MT"/>
          <w:b/>
          <w:i/>
          <w:sz w:val="20"/>
          <w:szCs w:val="20"/>
        </w:rPr>
      </w:pPr>
    </w:p>
    <w:p w14:paraId="3B2B1778" w14:textId="77777777" w:rsidR="009C01EA" w:rsidRPr="00260A7E" w:rsidRDefault="009C01EA" w:rsidP="00260A7E">
      <w:pPr>
        <w:spacing w:after="0"/>
        <w:jc w:val="right"/>
        <w:rPr>
          <w:rFonts w:ascii="Tw Cen MT" w:hAnsi="Tw Cen MT"/>
          <w:iCs/>
          <w:sz w:val="18"/>
          <w:szCs w:val="18"/>
        </w:rPr>
      </w:pPr>
      <w:r w:rsidRPr="00260A7E">
        <w:rPr>
          <w:rFonts w:ascii="Tw Cen MT" w:hAnsi="Tw Cen MT"/>
          <w:sz w:val="20"/>
          <w:szCs w:val="18"/>
        </w:rPr>
        <w:t xml:space="preserve">Content adapted from the Human Rights Campaign: </w:t>
      </w:r>
      <w:hyperlink r:id="rId41" w:history="1">
        <w:r w:rsidRPr="00260A7E">
          <w:rPr>
            <w:rStyle w:val="Hyperlink"/>
            <w:rFonts w:ascii="Tw Cen MT" w:hAnsi="Tw Cen MT"/>
            <w:sz w:val="20"/>
            <w:szCs w:val="18"/>
          </w:rPr>
          <w:t>http://www.hrc.org/resources/applying-to-college-as-an-LGBTQ-student</w:t>
        </w:r>
      </w:hyperlink>
      <w:r w:rsidRPr="00260A7E">
        <w:rPr>
          <w:rFonts w:ascii="Tw Cen MT" w:hAnsi="Tw Cen MT"/>
          <w:sz w:val="20"/>
          <w:szCs w:val="18"/>
        </w:rPr>
        <w:t xml:space="preserve"> </w:t>
      </w:r>
      <w:r w:rsidRPr="00260A7E">
        <w:rPr>
          <w:rFonts w:ascii="Tw Cen MT" w:hAnsi="Tw Cen MT"/>
          <w:sz w:val="18"/>
          <w:szCs w:val="18"/>
        </w:rPr>
        <w:t xml:space="preserve"> </w:t>
      </w:r>
      <w:r w:rsidRPr="00260A7E">
        <w:rPr>
          <w:rFonts w:ascii="Tw Cen MT" w:hAnsi="Tw Cen MT"/>
          <w:iCs/>
          <w:color w:val="FFC000"/>
          <w:sz w:val="18"/>
          <w:szCs w:val="18"/>
        </w:rPr>
        <w:t xml:space="preserve">  </w:t>
      </w:r>
    </w:p>
    <w:p w14:paraId="73692A67" w14:textId="77777777" w:rsidR="001774BE" w:rsidRPr="00CA2AEC" w:rsidRDefault="001774BE" w:rsidP="001F06A4">
      <w:pPr>
        <w:pStyle w:val="Heading2"/>
        <w:spacing w:before="480"/>
      </w:pPr>
      <w:bookmarkStart w:id="29" w:name="_Toc450201037"/>
      <w:bookmarkStart w:id="30" w:name="_Toc451857744"/>
      <w:r w:rsidRPr="00CA2AEC">
        <w:t>Completing the FAFSA</w:t>
      </w:r>
      <w:bookmarkEnd w:id="29"/>
      <w:bookmarkEnd w:id="30"/>
      <w:r w:rsidRPr="00CA2AEC">
        <w:t xml:space="preserve"> </w:t>
      </w:r>
    </w:p>
    <w:p w14:paraId="248CAD93" w14:textId="302B2EE2" w:rsidR="001774BE" w:rsidRPr="000677A0" w:rsidRDefault="00021A5C" w:rsidP="001F06A4">
      <w:pPr>
        <w:tabs>
          <w:tab w:val="left" w:pos="9270"/>
        </w:tabs>
        <w:spacing w:after="240"/>
        <w:rPr>
          <w:rFonts w:ascii="Tw Cen MT" w:hAnsi="Tw Cen MT"/>
          <w:sz w:val="24"/>
          <w:szCs w:val="20"/>
        </w:rPr>
      </w:pPr>
      <w:r w:rsidRPr="000677A0">
        <w:rPr>
          <w:rFonts w:ascii="Tw Cen MT" w:hAnsi="Tw Cen MT"/>
          <w:sz w:val="24"/>
          <w:szCs w:val="20"/>
        </w:rPr>
        <w:t xml:space="preserve">The FAFSA is an official government form. </w:t>
      </w:r>
      <w:r w:rsidR="001774BE" w:rsidRPr="000677A0">
        <w:rPr>
          <w:rFonts w:ascii="Tw Cen MT" w:hAnsi="Tw Cen MT"/>
          <w:sz w:val="24"/>
          <w:szCs w:val="20"/>
        </w:rPr>
        <w:t xml:space="preserve">According to Federal Student Aid, </w:t>
      </w:r>
      <w:r w:rsidRPr="000677A0">
        <w:rPr>
          <w:rFonts w:ascii="Tw Cen MT" w:hAnsi="Tw Cen MT"/>
          <w:sz w:val="24"/>
          <w:szCs w:val="20"/>
        </w:rPr>
        <w:t xml:space="preserve">applicants must enter their information as it appears on official government documents (e.g., birth certificate and social security card). </w:t>
      </w:r>
      <w:r w:rsidR="001774BE" w:rsidRPr="000677A0">
        <w:rPr>
          <w:rFonts w:ascii="Tw Cen MT" w:hAnsi="Tw Cen MT"/>
          <w:sz w:val="24"/>
          <w:szCs w:val="20"/>
        </w:rPr>
        <w:t xml:space="preserve">If the student has not changed their legal name and gender marker on Identity Documents (e.g., birth certificate, license, passport, Social Security Card), they </w:t>
      </w:r>
      <w:r w:rsidR="008F7908" w:rsidRPr="000677A0">
        <w:rPr>
          <w:rFonts w:ascii="Tw Cen MT" w:hAnsi="Tw Cen MT"/>
          <w:sz w:val="24"/>
          <w:szCs w:val="20"/>
        </w:rPr>
        <w:t>must</w:t>
      </w:r>
      <w:r w:rsidR="001774BE" w:rsidRPr="000677A0">
        <w:rPr>
          <w:rFonts w:ascii="Tw Cen MT" w:hAnsi="Tw Cen MT"/>
          <w:sz w:val="24"/>
          <w:szCs w:val="20"/>
        </w:rPr>
        <w:t xml:space="preserve"> use the original information. </w:t>
      </w:r>
      <w:r w:rsidRPr="000677A0">
        <w:rPr>
          <w:rFonts w:ascii="Tw Cen MT" w:hAnsi="Tw Cen MT"/>
          <w:sz w:val="24"/>
          <w:szCs w:val="20"/>
        </w:rPr>
        <w:t>If students do not use their legal name</w:t>
      </w:r>
      <w:r w:rsidR="002C0782" w:rsidRPr="000677A0">
        <w:rPr>
          <w:rFonts w:ascii="Tw Cen MT" w:hAnsi="Tw Cen MT"/>
          <w:sz w:val="24"/>
          <w:szCs w:val="20"/>
        </w:rPr>
        <w:t xml:space="preserve"> and official gender designation</w:t>
      </w:r>
      <w:r w:rsidRPr="000677A0">
        <w:rPr>
          <w:rFonts w:ascii="Tw Cen MT" w:hAnsi="Tw Cen MT"/>
          <w:sz w:val="24"/>
          <w:szCs w:val="20"/>
        </w:rPr>
        <w:t>, their application will not be</w:t>
      </w:r>
      <w:r w:rsidR="009C01EA" w:rsidRPr="000677A0">
        <w:rPr>
          <w:rFonts w:ascii="Tw Cen MT" w:hAnsi="Tw Cen MT"/>
          <w:sz w:val="24"/>
          <w:szCs w:val="20"/>
        </w:rPr>
        <w:t xml:space="preserve"> processed </w:t>
      </w:r>
      <w:proofErr w:type="gramStart"/>
      <w:r w:rsidR="009C01EA" w:rsidRPr="000677A0">
        <w:rPr>
          <w:rFonts w:ascii="Tw Cen MT" w:hAnsi="Tw Cen MT"/>
          <w:sz w:val="24"/>
          <w:szCs w:val="20"/>
        </w:rPr>
        <w:t>successfull</w:t>
      </w:r>
      <w:r w:rsidR="008F7908" w:rsidRPr="000677A0">
        <w:rPr>
          <w:rFonts w:ascii="Tw Cen MT" w:hAnsi="Tw Cen MT"/>
          <w:sz w:val="24"/>
          <w:szCs w:val="20"/>
        </w:rPr>
        <w:t>y</w:t>
      </w:r>
      <w:proofErr w:type="gramEnd"/>
      <w:r w:rsidR="008F7908" w:rsidRPr="000677A0">
        <w:rPr>
          <w:rFonts w:ascii="Tw Cen MT" w:hAnsi="Tw Cen MT"/>
          <w:sz w:val="24"/>
          <w:szCs w:val="20"/>
        </w:rPr>
        <w:t xml:space="preserve"> and their financial aid may be in </w:t>
      </w:r>
      <w:r w:rsidR="002C762B" w:rsidRPr="000677A0">
        <w:rPr>
          <w:rFonts w:ascii="Tw Cen MT" w:hAnsi="Tw Cen MT"/>
          <w:sz w:val="24"/>
          <w:szCs w:val="20"/>
        </w:rPr>
        <w:t>jeopardy</w:t>
      </w:r>
    </w:p>
    <w:p w14:paraId="43EBB97E" w14:textId="079D32F7" w:rsidR="00DF721F" w:rsidRPr="000677A0" w:rsidRDefault="00DF721F" w:rsidP="001F06A4">
      <w:pPr>
        <w:spacing w:after="240"/>
        <w:rPr>
          <w:rFonts w:ascii="Tw Cen MT" w:hAnsi="Tw Cen MT"/>
          <w:sz w:val="24"/>
          <w:szCs w:val="20"/>
        </w:rPr>
      </w:pPr>
      <w:r w:rsidRPr="000677A0">
        <w:rPr>
          <w:rFonts w:ascii="Tw Cen MT" w:hAnsi="Tw Cen MT"/>
          <w:sz w:val="24"/>
          <w:szCs w:val="20"/>
        </w:rPr>
        <w:t xml:space="preserve">Unsure of what to do? Contact </w:t>
      </w:r>
      <w:r w:rsidR="00B10BA3" w:rsidRPr="000677A0">
        <w:rPr>
          <w:rFonts w:ascii="Tw Cen MT" w:hAnsi="Tw Cen MT"/>
          <w:sz w:val="24"/>
          <w:szCs w:val="20"/>
        </w:rPr>
        <w:t>the</w:t>
      </w:r>
      <w:r w:rsidRPr="000677A0">
        <w:rPr>
          <w:rFonts w:ascii="Tw Cen MT" w:hAnsi="Tw Cen MT"/>
          <w:sz w:val="24"/>
          <w:szCs w:val="20"/>
        </w:rPr>
        <w:t xml:space="preserve"> Federal Student Aid Information Center by email, chat or phone. See:  </w:t>
      </w:r>
      <w:hyperlink r:id="rId42" w:history="1">
        <w:r w:rsidRPr="000677A0">
          <w:rPr>
            <w:rStyle w:val="Hyperlink"/>
            <w:rFonts w:ascii="Tw Cen MT" w:hAnsi="Tw Cen MT"/>
            <w:sz w:val="24"/>
            <w:szCs w:val="20"/>
          </w:rPr>
          <w:t>https://studentaidhelp.ed.gov/app/home/site/studentaid</w:t>
        </w:r>
      </w:hyperlink>
      <w:r w:rsidR="008F7908" w:rsidRPr="000677A0">
        <w:rPr>
          <w:rFonts w:ascii="Tw Cen MT" w:hAnsi="Tw Cen MT"/>
          <w:sz w:val="24"/>
          <w:szCs w:val="20"/>
        </w:rPr>
        <w:t>.</w:t>
      </w:r>
    </w:p>
    <w:p w14:paraId="4537EF7D" w14:textId="3584EA59" w:rsidR="001774BE" w:rsidRDefault="001774BE" w:rsidP="001774BE">
      <w:pPr>
        <w:rPr>
          <w:rFonts w:ascii="Tw Cen MT" w:hAnsi="Tw Cen MT"/>
          <w:sz w:val="24"/>
          <w:szCs w:val="20"/>
        </w:rPr>
      </w:pPr>
      <w:r w:rsidRPr="000677A0">
        <w:rPr>
          <w:rFonts w:ascii="Tw Cen MT" w:hAnsi="Tw Cen MT"/>
          <w:sz w:val="24"/>
          <w:szCs w:val="20"/>
        </w:rPr>
        <w:t>Students can find out how to get a legal name change where they live and update their name/gender on state and federal IDs and records at the National Center for Transgen</w:t>
      </w:r>
      <w:r w:rsidR="00A813D2" w:rsidRPr="000677A0">
        <w:rPr>
          <w:rFonts w:ascii="Tw Cen MT" w:hAnsi="Tw Cen MT"/>
          <w:sz w:val="24"/>
          <w:szCs w:val="20"/>
        </w:rPr>
        <w:t>der Equality ID Document Center for</w:t>
      </w:r>
      <w:r w:rsidRPr="000677A0">
        <w:rPr>
          <w:rFonts w:ascii="Tw Cen MT" w:hAnsi="Tw Cen MT"/>
          <w:sz w:val="24"/>
          <w:szCs w:val="20"/>
        </w:rPr>
        <w:t xml:space="preserve"> Washington State: </w:t>
      </w:r>
      <w:hyperlink r:id="rId43" w:history="1">
        <w:r w:rsidRPr="000677A0">
          <w:rPr>
            <w:rStyle w:val="Hyperlink"/>
            <w:rFonts w:ascii="Tw Cen MT" w:hAnsi="Tw Cen MT"/>
            <w:sz w:val="24"/>
            <w:szCs w:val="20"/>
          </w:rPr>
          <w:t>www.transequality.org/documents/state/washington</w:t>
        </w:r>
      </w:hyperlink>
      <w:r w:rsidR="008F7908" w:rsidRPr="000677A0">
        <w:rPr>
          <w:rFonts w:ascii="Tw Cen MT" w:hAnsi="Tw Cen MT"/>
          <w:sz w:val="24"/>
          <w:szCs w:val="20"/>
        </w:rPr>
        <w:t>.</w:t>
      </w:r>
    </w:p>
    <w:p w14:paraId="6ABCAD5A" w14:textId="32C729E3" w:rsidR="006D2EB6" w:rsidRPr="006D2EB6" w:rsidRDefault="006D2EB6" w:rsidP="00B10BA3">
      <w:pPr>
        <w:rPr>
          <w:sz w:val="24"/>
          <w:szCs w:val="24"/>
        </w:rPr>
      </w:pPr>
      <w:r>
        <w:rPr>
          <w:rFonts w:ascii="Tw Cen MT" w:hAnsi="Tw Cen MT"/>
          <w:sz w:val="24"/>
          <w:szCs w:val="20"/>
        </w:rPr>
        <w:t xml:space="preserve">In addition, in Washington State, people who identify as nonbinary may change the </w:t>
      </w:r>
      <w:r w:rsidRPr="006D2EB6">
        <w:rPr>
          <w:rFonts w:ascii="Tw Cen MT" w:hAnsi="Tw Cen MT"/>
          <w:sz w:val="24"/>
          <w:szCs w:val="20"/>
        </w:rPr>
        <w:t>sex designation change on a birth certificate</w:t>
      </w:r>
      <w:r>
        <w:rPr>
          <w:rFonts w:ascii="Tw Cen MT" w:hAnsi="Tw Cen MT"/>
          <w:sz w:val="24"/>
          <w:szCs w:val="20"/>
        </w:rPr>
        <w:t xml:space="preserve">. </w:t>
      </w:r>
      <w:r w:rsidRPr="006D2EB6">
        <w:rPr>
          <w:sz w:val="24"/>
          <w:szCs w:val="24"/>
        </w:rPr>
        <w:t>Under this rule, people who were born in Washington State and want to change their sex designation on their birth certificate to reflect their gender identity may do so by completing the appropriate request form. The new rule added “X” as a third sex designation option.</w:t>
      </w:r>
      <w:r w:rsidR="00B10BA3">
        <w:rPr>
          <w:sz w:val="24"/>
          <w:szCs w:val="24"/>
        </w:rPr>
        <w:t xml:space="preserve"> </w:t>
      </w:r>
      <w:r w:rsidRPr="006D2EB6">
        <w:rPr>
          <w:sz w:val="24"/>
          <w:szCs w:val="24"/>
        </w:rPr>
        <w:t xml:space="preserve">“X” means a gender that is not exclusively male or female, including, but not limited to, intersex, agender, </w:t>
      </w:r>
      <w:proofErr w:type="spellStart"/>
      <w:r w:rsidRPr="006D2EB6">
        <w:rPr>
          <w:sz w:val="24"/>
          <w:szCs w:val="24"/>
        </w:rPr>
        <w:t>amalgagender</w:t>
      </w:r>
      <w:proofErr w:type="spellEnd"/>
      <w:r w:rsidRPr="006D2EB6">
        <w:rPr>
          <w:sz w:val="24"/>
          <w:szCs w:val="24"/>
        </w:rPr>
        <w:t xml:space="preserve">, androgynous, bigender, </w:t>
      </w:r>
      <w:proofErr w:type="spellStart"/>
      <w:r w:rsidRPr="006D2EB6">
        <w:rPr>
          <w:sz w:val="24"/>
          <w:szCs w:val="24"/>
        </w:rPr>
        <w:t>demigender</w:t>
      </w:r>
      <w:proofErr w:type="spellEnd"/>
      <w:r w:rsidRPr="006D2EB6">
        <w:rPr>
          <w:sz w:val="24"/>
          <w:szCs w:val="24"/>
        </w:rPr>
        <w:t>, female-to-male, genderfluid, genderqueer, male-to-female, neutrois, nonbinary, pangender, third sex, transgender, transsexual, Two Spirit, and unspecified.</w:t>
      </w:r>
    </w:p>
    <w:p w14:paraId="0F412829" w14:textId="18F2905F" w:rsidR="006D2EB6" w:rsidRPr="006D2EB6" w:rsidRDefault="006D2EB6" w:rsidP="00B10BA3">
      <w:pPr>
        <w:rPr>
          <w:sz w:val="24"/>
          <w:szCs w:val="24"/>
        </w:rPr>
      </w:pPr>
      <w:r w:rsidRPr="006D2EB6">
        <w:rPr>
          <w:sz w:val="24"/>
          <w:szCs w:val="24"/>
        </w:rPr>
        <w:t>What is required, you need to complete the appropriate Sex Designation Change request form. A court order or a letter from your physician will not be accepted.</w:t>
      </w:r>
    </w:p>
    <w:p w14:paraId="6A9C185C" w14:textId="0B2C96F4" w:rsidR="006D2EB6" w:rsidRPr="000677A0" w:rsidRDefault="00B10BA3" w:rsidP="001774BE">
      <w:pPr>
        <w:rPr>
          <w:rFonts w:ascii="Tw Cen MT" w:hAnsi="Tw Cen MT"/>
          <w:sz w:val="24"/>
          <w:szCs w:val="20"/>
        </w:rPr>
      </w:pPr>
      <w:r>
        <w:rPr>
          <w:rFonts w:ascii="Tw Cen MT" w:hAnsi="Tw Cen MT"/>
          <w:sz w:val="24"/>
          <w:szCs w:val="20"/>
        </w:rPr>
        <w:t xml:space="preserve">Learn more: </w:t>
      </w:r>
      <w:hyperlink r:id="rId44" w:history="1">
        <w:r w:rsidRPr="00B10BA3">
          <w:rPr>
            <w:rStyle w:val="Hyperlink"/>
            <w:sz w:val="24"/>
            <w:szCs w:val="24"/>
          </w:rPr>
          <w:t>https://www.doh.wa.gov/LicensesPermitsandCertificates/BirthDeathMarriageandDivorce/SexDesignationChangeonaBirthCertificate</w:t>
        </w:r>
      </w:hyperlink>
    </w:p>
    <w:p w14:paraId="0DEB6AA6" w14:textId="6B8715D9" w:rsidR="00FA5CC4" w:rsidRPr="00704FC6" w:rsidRDefault="00FA5CC4" w:rsidP="00704FC6">
      <w:pPr>
        <w:pStyle w:val="Heading1"/>
        <w:rPr>
          <w:rFonts w:eastAsia="Times New Roman"/>
        </w:rPr>
      </w:pPr>
      <w:bookmarkStart w:id="31" w:name="_Toc451857745"/>
      <w:bookmarkStart w:id="32" w:name="_Toc450201038"/>
      <w:r w:rsidRPr="00704FC6">
        <w:rPr>
          <w:rFonts w:eastAsia="Times New Roman"/>
        </w:rPr>
        <w:lastRenderedPageBreak/>
        <w:t>Frequently Asked Questions:</w:t>
      </w:r>
      <w:bookmarkEnd w:id="31"/>
      <w:r w:rsidRPr="00704FC6">
        <w:rPr>
          <w:rFonts w:eastAsia="Times New Roman"/>
        </w:rPr>
        <w:t xml:space="preserve"> </w:t>
      </w:r>
    </w:p>
    <w:p w14:paraId="1B672CC9" w14:textId="38C9614A" w:rsidR="00795E6E" w:rsidRPr="00704FC6" w:rsidRDefault="00FA5CC4" w:rsidP="0010720D">
      <w:pPr>
        <w:pStyle w:val="Heading2"/>
        <w:rPr>
          <w:rFonts w:ascii="Tw Cen MT" w:eastAsia="Times New Roman" w:hAnsi="Tw Cen MT"/>
        </w:rPr>
      </w:pPr>
      <w:bookmarkStart w:id="33" w:name="1"/>
      <w:bookmarkStart w:id="34" w:name="2"/>
      <w:bookmarkStart w:id="35" w:name="_Toc451857746"/>
      <w:bookmarkEnd w:id="32"/>
      <w:bookmarkEnd w:id="33"/>
      <w:bookmarkEnd w:id="34"/>
      <w:r w:rsidRPr="00704FC6">
        <w:rPr>
          <w:rFonts w:ascii="Tw Cen MT" w:eastAsia="Times New Roman" w:hAnsi="Tw Cen MT"/>
        </w:rPr>
        <w:t xml:space="preserve">Q: What laws protect </w:t>
      </w:r>
      <w:r w:rsidR="00163FEC">
        <w:rPr>
          <w:rFonts w:ascii="Tw Cen MT" w:eastAsia="Times New Roman" w:hAnsi="Tw Cen MT"/>
        </w:rPr>
        <w:t>LGBTQ+</w:t>
      </w:r>
      <w:r w:rsidR="00795E6E" w:rsidRPr="00704FC6">
        <w:rPr>
          <w:rFonts w:ascii="Tw Cen MT" w:eastAsia="Times New Roman" w:hAnsi="Tw Cen MT"/>
        </w:rPr>
        <w:t xml:space="preserve"> st</w:t>
      </w:r>
      <w:r w:rsidR="003C7C0F" w:rsidRPr="00704FC6">
        <w:rPr>
          <w:rFonts w:ascii="Tw Cen MT" w:eastAsia="Times New Roman" w:hAnsi="Tw Cen MT"/>
        </w:rPr>
        <w:t>udents</w:t>
      </w:r>
      <w:r w:rsidRPr="00704FC6">
        <w:rPr>
          <w:rFonts w:ascii="Tw Cen MT" w:eastAsia="Times New Roman" w:hAnsi="Tw Cen MT"/>
        </w:rPr>
        <w:t>?</w:t>
      </w:r>
      <w:bookmarkEnd w:id="35"/>
    </w:p>
    <w:p w14:paraId="602DE3A0" w14:textId="77777777" w:rsidR="00795E6E" w:rsidRPr="0021572A" w:rsidRDefault="00795E6E" w:rsidP="00795E6E">
      <w:pPr>
        <w:spacing w:after="0"/>
        <w:rPr>
          <w:rFonts w:ascii="Tw Cen MT" w:eastAsia="Times New Roman" w:hAnsi="Tw Cen MT" w:cs="Times New Roman"/>
          <w:bCs/>
          <w:sz w:val="22"/>
          <w:szCs w:val="20"/>
        </w:rPr>
      </w:pPr>
      <w:r w:rsidRPr="0021572A">
        <w:rPr>
          <w:rFonts w:ascii="Tw Cen MT" w:eastAsia="Times New Roman" w:hAnsi="Tw Cen MT" w:cs="Times New Roman"/>
          <w:bCs/>
          <w:sz w:val="24"/>
          <w:szCs w:val="20"/>
        </w:rPr>
        <w:t>A: The following state and federal civil rights laws prohibit discrimination in public schools.</w:t>
      </w:r>
    </w:p>
    <w:p w14:paraId="5B824B56" w14:textId="77777777" w:rsidR="00795E6E" w:rsidRPr="00704FC6" w:rsidRDefault="00795E6E" w:rsidP="00795E6E">
      <w:pPr>
        <w:spacing w:after="0"/>
        <w:rPr>
          <w:rFonts w:ascii="Tw Cen MT" w:eastAsia="Times New Roman" w:hAnsi="Tw Cen MT" w:cs="Times New Roman"/>
          <w:bCs/>
          <w:sz w:val="20"/>
          <w:szCs w:val="20"/>
        </w:rPr>
      </w:pPr>
    </w:p>
    <w:tbl>
      <w:tblPr>
        <w:tblStyle w:val="TableGrid"/>
        <w:tblW w:w="5000" w:type="pct"/>
        <w:tblLook w:val="0620" w:firstRow="1" w:lastRow="0" w:firstColumn="0" w:lastColumn="0" w:noHBand="1" w:noVBand="1"/>
        <w:tblCaption w:val="Table: LGBTQ Protections under Federal and State Law"/>
        <w:tblDescription w:val="The table headers include: Protected Class, Federal Law, and State Law. The Row Headers are Sex, Sexual Orientation, and Gender Identity and Expression."/>
      </w:tblPr>
      <w:tblGrid>
        <w:gridCol w:w="1690"/>
        <w:gridCol w:w="3374"/>
        <w:gridCol w:w="4286"/>
      </w:tblGrid>
      <w:tr w:rsidR="00795E6E" w:rsidRPr="0021572A" w14:paraId="65611831" w14:textId="77777777" w:rsidTr="004116FD">
        <w:trPr>
          <w:trHeight w:val="20"/>
          <w:tblHeader/>
        </w:trPr>
        <w:tc>
          <w:tcPr>
            <w:tcW w:w="803" w:type="pct"/>
            <w:shd w:val="clear" w:color="auto" w:fill="6D1D6A" w:themeFill="accent1" w:themeFillShade="BF"/>
            <w:vAlign w:val="center"/>
            <w:hideMark/>
          </w:tcPr>
          <w:p w14:paraId="309116C2" w14:textId="77777777" w:rsidR="00795E6E" w:rsidRPr="00B305AD" w:rsidRDefault="00F37F31" w:rsidP="00B305AD">
            <w:pPr>
              <w:pStyle w:val="Heading3"/>
              <w:outlineLvl w:val="2"/>
              <w:rPr>
                <w:color w:val="FFFFFF" w:themeColor="background1"/>
              </w:rPr>
            </w:pPr>
            <w:r w:rsidRPr="00B305AD">
              <w:rPr>
                <w:color w:val="FFFFFF" w:themeColor="background1"/>
              </w:rPr>
              <w:t>Protected Class</w:t>
            </w:r>
            <w:r w:rsidRPr="00B305AD">
              <w:rPr>
                <w:color w:val="FFFFFF" w:themeColor="background1"/>
              </w:rPr>
              <w:br/>
              <w:t>(Discrimination Prohibited)</w:t>
            </w:r>
          </w:p>
        </w:tc>
        <w:tc>
          <w:tcPr>
            <w:tcW w:w="1855" w:type="pct"/>
            <w:shd w:val="clear" w:color="auto" w:fill="6D1D6A" w:themeFill="accent1" w:themeFillShade="BF"/>
            <w:vAlign w:val="center"/>
            <w:hideMark/>
          </w:tcPr>
          <w:p w14:paraId="4922D543" w14:textId="77777777" w:rsidR="00795E6E" w:rsidRPr="00B305AD" w:rsidRDefault="00F37F31" w:rsidP="00B305AD">
            <w:pPr>
              <w:pStyle w:val="Heading3"/>
              <w:outlineLvl w:val="2"/>
              <w:rPr>
                <w:color w:val="FFFFFF" w:themeColor="background1"/>
              </w:rPr>
            </w:pPr>
            <w:r w:rsidRPr="00B305AD">
              <w:rPr>
                <w:color w:val="FFFFFF" w:themeColor="background1"/>
              </w:rPr>
              <w:t>Federal Law</w:t>
            </w:r>
          </w:p>
        </w:tc>
        <w:tc>
          <w:tcPr>
            <w:tcW w:w="2342" w:type="pct"/>
            <w:shd w:val="clear" w:color="auto" w:fill="6D1D6A" w:themeFill="accent1" w:themeFillShade="BF"/>
            <w:vAlign w:val="center"/>
            <w:hideMark/>
          </w:tcPr>
          <w:p w14:paraId="585C3B70" w14:textId="77777777" w:rsidR="00795E6E" w:rsidRPr="00B305AD" w:rsidRDefault="00F37F31" w:rsidP="00B305AD">
            <w:pPr>
              <w:pStyle w:val="Heading3"/>
              <w:outlineLvl w:val="2"/>
              <w:rPr>
                <w:color w:val="FFFFFF" w:themeColor="background1"/>
              </w:rPr>
            </w:pPr>
            <w:r w:rsidRPr="00B305AD">
              <w:rPr>
                <w:color w:val="FFFFFF" w:themeColor="background1"/>
              </w:rPr>
              <w:t>Washington State Law</w:t>
            </w:r>
          </w:p>
        </w:tc>
      </w:tr>
      <w:tr w:rsidR="00795E6E" w:rsidRPr="0021572A" w14:paraId="1F1891C2" w14:textId="77777777" w:rsidTr="004116FD">
        <w:trPr>
          <w:trHeight w:val="20"/>
        </w:trPr>
        <w:tc>
          <w:tcPr>
            <w:tcW w:w="803" w:type="pct"/>
            <w:vAlign w:val="center"/>
            <w:hideMark/>
          </w:tcPr>
          <w:p w14:paraId="58EA0E34" w14:textId="77777777" w:rsidR="00795E6E" w:rsidRPr="00260A7E" w:rsidRDefault="00795E6E" w:rsidP="00F37F31">
            <w:pPr>
              <w:pStyle w:val="NoSpacing"/>
              <w:jc w:val="center"/>
              <w:rPr>
                <w:rFonts w:ascii="Tw Cen MT" w:hAnsi="Tw Cen MT"/>
                <w:color w:val="92278F" w:themeColor="accent1"/>
                <w:sz w:val="24"/>
                <w:szCs w:val="18"/>
              </w:rPr>
            </w:pPr>
            <w:r w:rsidRPr="00260A7E">
              <w:rPr>
                <w:rFonts w:ascii="Tw Cen MT" w:hAnsi="Tw Cen MT"/>
                <w:bCs/>
                <w:color w:val="92278F" w:themeColor="accent1"/>
                <w:sz w:val="24"/>
                <w:szCs w:val="18"/>
              </w:rPr>
              <w:t>Sex</w:t>
            </w:r>
          </w:p>
        </w:tc>
        <w:tc>
          <w:tcPr>
            <w:tcW w:w="1855" w:type="pct"/>
            <w:hideMark/>
          </w:tcPr>
          <w:p w14:paraId="262FCB24" w14:textId="77777777" w:rsidR="00795E6E" w:rsidRPr="0021572A" w:rsidRDefault="00724167" w:rsidP="00B305AD">
            <w:pPr>
              <w:pStyle w:val="NoSpacing"/>
              <w:rPr>
                <w:rFonts w:ascii="Tw Cen MT" w:hAnsi="Tw Cen MT"/>
                <w:sz w:val="24"/>
                <w:szCs w:val="18"/>
              </w:rPr>
            </w:pPr>
            <w:hyperlink r:id="rId45" w:history="1">
              <w:r w:rsidR="00795E6E" w:rsidRPr="0021572A">
                <w:rPr>
                  <w:rFonts w:ascii="Tw Cen MT" w:hAnsi="Tw Cen MT"/>
                  <w:color w:val="0000FF"/>
                  <w:sz w:val="24"/>
                  <w:szCs w:val="18"/>
                  <w:u w:val="single"/>
                </w:rPr>
                <w:t>Title IX of the Education Amendments of 1972</w:t>
              </w:r>
            </w:hyperlink>
            <w:r w:rsidR="00795E6E" w:rsidRPr="0021572A">
              <w:rPr>
                <w:rFonts w:ascii="Tw Cen MT" w:hAnsi="Tw Cen MT"/>
                <w:sz w:val="24"/>
                <w:szCs w:val="18"/>
              </w:rPr>
              <w:t xml:space="preserve"> (34 C.F.R. Part 106)</w:t>
            </w:r>
          </w:p>
          <w:p w14:paraId="1290ED49" w14:textId="77777777" w:rsidR="00795E6E" w:rsidRPr="0021572A" w:rsidRDefault="00724167" w:rsidP="00B305AD">
            <w:pPr>
              <w:pStyle w:val="NoSpacing"/>
              <w:rPr>
                <w:rFonts w:ascii="Tw Cen MT" w:hAnsi="Tw Cen MT"/>
                <w:sz w:val="24"/>
                <w:szCs w:val="18"/>
              </w:rPr>
            </w:pPr>
            <w:hyperlink r:id="rId46" w:history="1">
              <w:r w:rsidR="00795E6E" w:rsidRPr="0021572A">
                <w:rPr>
                  <w:rFonts w:ascii="Tw Cen MT" w:hAnsi="Tw Cen MT"/>
                  <w:color w:val="0000FF"/>
                  <w:sz w:val="24"/>
                  <w:szCs w:val="18"/>
                  <w:u w:val="single"/>
                </w:rPr>
                <w:t>Title IV of the Civil Rights Act of 1964</w:t>
              </w:r>
            </w:hyperlink>
            <w:r w:rsidR="00795E6E" w:rsidRPr="0021572A">
              <w:rPr>
                <w:rFonts w:ascii="Tw Cen MT" w:hAnsi="Tw Cen MT"/>
                <w:sz w:val="24"/>
                <w:szCs w:val="18"/>
              </w:rPr>
              <w:t xml:space="preserve"> (42 U.S.C. §2000c, et seq.)</w:t>
            </w:r>
          </w:p>
          <w:p w14:paraId="5CEBCEC0" w14:textId="77777777" w:rsidR="00795E6E" w:rsidRPr="0021572A" w:rsidRDefault="00795E6E" w:rsidP="00B305AD">
            <w:pPr>
              <w:pStyle w:val="NoSpacing"/>
              <w:rPr>
                <w:rFonts w:ascii="Tw Cen MT" w:hAnsi="Tw Cen MT"/>
                <w:sz w:val="24"/>
                <w:szCs w:val="18"/>
              </w:rPr>
            </w:pPr>
            <w:r w:rsidRPr="0021572A">
              <w:rPr>
                <w:rFonts w:ascii="Tw Cen MT" w:hAnsi="Tw Cen MT"/>
                <w:sz w:val="24"/>
                <w:szCs w:val="18"/>
              </w:rPr>
              <w:t xml:space="preserve">Employment Discrimination: </w:t>
            </w:r>
            <w:hyperlink r:id="rId47" w:history="1">
              <w:r w:rsidRPr="0021572A">
                <w:rPr>
                  <w:rFonts w:ascii="Tw Cen MT" w:hAnsi="Tw Cen MT"/>
                  <w:color w:val="0000FF"/>
                  <w:sz w:val="24"/>
                  <w:szCs w:val="18"/>
                  <w:u w:val="single"/>
                </w:rPr>
                <w:t>Title VII of the Civil Rights Act of 1964</w:t>
              </w:r>
            </w:hyperlink>
            <w:r w:rsidRPr="0021572A">
              <w:rPr>
                <w:rFonts w:ascii="Tw Cen MT" w:hAnsi="Tw Cen MT"/>
                <w:sz w:val="24"/>
                <w:szCs w:val="18"/>
              </w:rPr>
              <w:t xml:space="preserve"> (34 C.F.R. Part 106) </w:t>
            </w:r>
          </w:p>
        </w:tc>
        <w:tc>
          <w:tcPr>
            <w:tcW w:w="2342" w:type="pct"/>
            <w:hideMark/>
          </w:tcPr>
          <w:p w14:paraId="5D6795A8" w14:textId="77777777" w:rsidR="00795E6E" w:rsidRPr="0021572A" w:rsidRDefault="00724167" w:rsidP="00B305AD">
            <w:pPr>
              <w:pStyle w:val="NoSpacing"/>
              <w:rPr>
                <w:rFonts w:ascii="Tw Cen MT" w:hAnsi="Tw Cen MT"/>
                <w:sz w:val="24"/>
                <w:szCs w:val="18"/>
              </w:rPr>
            </w:pPr>
            <w:hyperlink r:id="rId48" w:history="1">
              <w:r w:rsidR="00795E6E" w:rsidRPr="0021572A">
                <w:rPr>
                  <w:rFonts w:ascii="Tw Cen MT" w:hAnsi="Tw Cen MT"/>
                  <w:color w:val="0000FF"/>
                  <w:sz w:val="24"/>
                  <w:szCs w:val="18"/>
                  <w:u w:val="single"/>
                </w:rPr>
                <w:t>Chapter 28A.640 RCW</w:t>
              </w:r>
            </w:hyperlink>
            <w:r w:rsidR="00795E6E" w:rsidRPr="0021572A">
              <w:rPr>
                <w:rFonts w:ascii="Tw Cen MT" w:hAnsi="Tw Cen MT"/>
                <w:sz w:val="24"/>
                <w:szCs w:val="18"/>
              </w:rPr>
              <w:t xml:space="preserve"> - Sexual equality</w:t>
            </w:r>
          </w:p>
          <w:p w14:paraId="69E53C2C" w14:textId="77777777" w:rsidR="00795E6E" w:rsidRPr="0021572A" w:rsidRDefault="00724167" w:rsidP="00B305AD">
            <w:pPr>
              <w:pStyle w:val="NoSpacing"/>
              <w:rPr>
                <w:rFonts w:ascii="Tw Cen MT" w:hAnsi="Tw Cen MT"/>
                <w:sz w:val="24"/>
                <w:szCs w:val="18"/>
              </w:rPr>
            </w:pPr>
            <w:hyperlink r:id="rId49" w:history="1">
              <w:r w:rsidR="00795E6E" w:rsidRPr="0021572A">
                <w:rPr>
                  <w:rFonts w:ascii="Tw Cen MT" w:hAnsi="Tw Cen MT"/>
                  <w:color w:val="0000FF"/>
                  <w:sz w:val="24"/>
                  <w:szCs w:val="18"/>
                  <w:u w:val="single"/>
                </w:rPr>
                <w:t>Chapter 28A.642 RCW</w:t>
              </w:r>
            </w:hyperlink>
            <w:r w:rsidR="00795E6E" w:rsidRPr="0021572A">
              <w:rPr>
                <w:rFonts w:ascii="Tw Cen MT" w:hAnsi="Tw Cen MT"/>
                <w:sz w:val="24"/>
                <w:szCs w:val="18"/>
              </w:rPr>
              <w:t xml:space="preserve"> - Common school provisions – Discrimination prohibition</w:t>
            </w:r>
          </w:p>
          <w:p w14:paraId="1A4264A4" w14:textId="77777777" w:rsidR="00795E6E" w:rsidRPr="0021572A" w:rsidRDefault="00724167" w:rsidP="00B305AD">
            <w:pPr>
              <w:pStyle w:val="NoSpacing"/>
              <w:rPr>
                <w:rFonts w:ascii="Tw Cen MT" w:hAnsi="Tw Cen MT"/>
                <w:sz w:val="24"/>
                <w:szCs w:val="18"/>
              </w:rPr>
            </w:pPr>
            <w:hyperlink r:id="rId50" w:history="1">
              <w:r w:rsidR="00795E6E" w:rsidRPr="0021572A">
                <w:rPr>
                  <w:rFonts w:ascii="Tw Cen MT" w:hAnsi="Tw Cen MT"/>
                  <w:color w:val="0000FF"/>
                  <w:sz w:val="24"/>
                  <w:szCs w:val="18"/>
                  <w:u w:val="single"/>
                </w:rPr>
                <w:t>Chapter 392-190 WAC</w:t>
              </w:r>
            </w:hyperlink>
            <w:r w:rsidR="00795E6E" w:rsidRPr="0021572A">
              <w:rPr>
                <w:rFonts w:ascii="Tw Cen MT" w:hAnsi="Tw Cen MT"/>
                <w:sz w:val="24"/>
                <w:szCs w:val="18"/>
              </w:rPr>
              <w:t xml:space="preserve"> – Equal educational opportunity – Unlawful discrimination prohibited</w:t>
            </w:r>
          </w:p>
          <w:p w14:paraId="001B9656" w14:textId="77777777" w:rsidR="00795E6E" w:rsidRPr="0021572A" w:rsidRDefault="00724167" w:rsidP="00B305AD">
            <w:pPr>
              <w:pStyle w:val="NoSpacing"/>
              <w:rPr>
                <w:rFonts w:ascii="Tw Cen MT" w:hAnsi="Tw Cen MT"/>
                <w:sz w:val="24"/>
                <w:szCs w:val="18"/>
              </w:rPr>
            </w:pPr>
            <w:hyperlink r:id="rId51" w:history="1">
              <w:r w:rsidR="00795E6E" w:rsidRPr="0021572A">
                <w:rPr>
                  <w:rFonts w:ascii="Tw Cen MT" w:hAnsi="Tw Cen MT"/>
                  <w:color w:val="0000FF"/>
                  <w:sz w:val="24"/>
                  <w:szCs w:val="18"/>
                  <w:u w:val="single"/>
                </w:rPr>
                <w:t>Chapter 49.60 RCW</w:t>
              </w:r>
            </w:hyperlink>
            <w:r w:rsidR="00795E6E" w:rsidRPr="0021572A">
              <w:rPr>
                <w:rFonts w:ascii="Tw Cen MT" w:hAnsi="Tw Cen MT"/>
                <w:sz w:val="24"/>
                <w:szCs w:val="18"/>
              </w:rPr>
              <w:br/>
              <w:t>Washington Law Against Discrimination*</w:t>
            </w:r>
          </w:p>
          <w:p w14:paraId="3D6321E8" w14:textId="77777777" w:rsidR="00795E6E" w:rsidRPr="0021572A" w:rsidRDefault="00724167" w:rsidP="00B305AD">
            <w:pPr>
              <w:pStyle w:val="NoSpacing"/>
              <w:rPr>
                <w:rFonts w:ascii="Tw Cen MT" w:hAnsi="Tw Cen MT"/>
                <w:sz w:val="24"/>
                <w:szCs w:val="18"/>
              </w:rPr>
            </w:pPr>
            <w:hyperlink r:id="rId52" w:history="1">
              <w:r w:rsidR="00795E6E" w:rsidRPr="0021572A">
                <w:rPr>
                  <w:rFonts w:ascii="Tw Cen MT" w:hAnsi="Tw Cen MT"/>
                  <w:color w:val="0000FF"/>
                  <w:sz w:val="24"/>
                  <w:szCs w:val="18"/>
                  <w:u w:val="single"/>
                </w:rPr>
                <w:t>OSPI Guidelines: Prohibiting Discrimination in Washington Public Schools</w:t>
              </w:r>
            </w:hyperlink>
          </w:p>
        </w:tc>
      </w:tr>
      <w:tr w:rsidR="00795E6E" w:rsidRPr="0021572A" w14:paraId="31888D6C" w14:textId="77777777" w:rsidTr="004116FD">
        <w:trPr>
          <w:trHeight w:val="20"/>
        </w:trPr>
        <w:tc>
          <w:tcPr>
            <w:tcW w:w="803" w:type="pct"/>
            <w:vAlign w:val="center"/>
            <w:hideMark/>
          </w:tcPr>
          <w:p w14:paraId="0C9C847D" w14:textId="77777777" w:rsidR="00795E6E" w:rsidRPr="00260A7E" w:rsidRDefault="00795E6E" w:rsidP="00F37F31">
            <w:pPr>
              <w:pStyle w:val="NoSpacing"/>
              <w:jc w:val="center"/>
              <w:rPr>
                <w:rFonts w:ascii="Tw Cen MT" w:hAnsi="Tw Cen MT"/>
                <w:color w:val="92278F" w:themeColor="accent1"/>
                <w:sz w:val="24"/>
                <w:szCs w:val="18"/>
              </w:rPr>
            </w:pPr>
            <w:r w:rsidRPr="00260A7E">
              <w:rPr>
                <w:rFonts w:ascii="Tw Cen MT" w:hAnsi="Tw Cen MT"/>
                <w:bCs/>
                <w:color w:val="92278F" w:themeColor="accent1"/>
                <w:sz w:val="24"/>
                <w:szCs w:val="18"/>
              </w:rPr>
              <w:t>Sexual Orientation</w:t>
            </w:r>
          </w:p>
        </w:tc>
        <w:tc>
          <w:tcPr>
            <w:tcW w:w="1855" w:type="pct"/>
            <w:hideMark/>
          </w:tcPr>
          <w:p w14:paraId="6B936E0C" w14:textId="77777777" w:rsidR="00795E6E" w:rsidRPr="0021572A" w:rsidRDefault="00724167" w:rsidP="00B305AD">
            <w:pPr>
              <w:pStyle w:val="NoSpacing"/>
              <w:rPr>
                <w:rFonts w:ascii="Tw Cen MT" w:hAnsi="Tw Cen MT"/>
                <w:sz w:val="24"/>
                <w:szCs w:val="18"/>
              </w:rPr>
            </w:pPr>
            <w:hyperlink r:id="rId53" w:history="1">
              <w:r w:rsidR="00795E6E" w:rsidRPr="0021572A">
                <w:rPr>
                  <w:rFonts w:ascii="Tw Cen MT" w:hAnsi="Tw Cen MT"/>
                  <w:color w:val="0000FF"/>
                  <w:sz w:val="24"/>
                  <w:szCs w:val="18"/>
                  <w:u w:val="single"/>
                </w:rPr>
                <w:t>Title IX of the Education Amendments of 1972</w:t>
              </w:r>
            </w:hyperlink>
            <w:r w:rsidR="00795E6E" w:rsidRPr="0021572A">
              <w:rPr>
                <w:rFonts w:ascii="Tw Cen MT" w:hAnsi="Tw Cen MT"/>
                <w:sz w:val="24"/>
                <w:szCs w:val="18"/>
              </w:rPr>
              <w:t xml:space="preserve"> (34 C.F.R. Part 106)</w:t>
            </w:r>
            <w:r w:rsidR="00795E6E" w:rsidRPr="0021572A">
              <w:rPr>
                <w:rFonts w:ascii="Tw Cen MT" w:hAnsi="Tw Cen MT"/>
                <w:sz w:val="24"/>
                <w:szCs w:val="18"/>
              </w:rPr>
              <w:br/>
              <w:t xml:space="preserve">Title IX prohibits discrimination based on sex and sex-stereotyping, such as discrimination based on a person’s failure to conform to stereotypical notions of masculinity and femininity. </w:t>
            </w:r>
          </w:p>
        </w:tc>
        <w:tc>
          <w:tcPr>
            <w:tcW w:w="2342" w:type="pct"/>
            <w:hideMark/>
          </w:tcPr>
          <w:p w14:paraId="11F1BCDF" w14:textId="77777777" w:rsidR="00795E6E" w:rsidRPr="0021572A" w:rsidRDefault="00724167" w:rsidP="00B305AD">
            <w:pPr>
              <w:pStyle w:val="NoSpacing"/>
              <w:rPr>
                <w:rFonts w:ascii="Tw Cen MT" w:hAnsi="Tw Cen MT"/>
                <w:sz w:val="24"/>
                <w:szCs w:val="18"/>
              </w:rPr>
            </w:pPr>
            <w:hyperlink r:id="rId54" w:history="1">
              <w:r w:rsidR="00795E6E" w:rsidRPr="0021572A">
                <w:rPr>
                  <w:rFonts w:ascii="Tw Cen MT" w:hAnsi="Tw Cen MT"/>
                  <w:color w:val="0000FF"/>
                  <w:sz w:val="24"/>
                  <w:szCs w:val="18"/>
                  <w:u w:val="single"/>
                </w:rPr>
                <w:t>Chapter 28A.642 RCW</w:t>
              </w:r>
            </w:hyperlink>
            <w:r w:rsidR="00795E6E" w:rsidRPr="0021572A">
              <w:rPr>
                <w:rFonts w:ascii="Tw Cen MT" w:hAnsi="Tw Cen MT"/>
                <w:sz w:val="24"/>
                <w:szCs w:val="18"/>
              </w:rPr>
              <w:t xml:space="preserve"> - Common school provisions – Discrimination prohibition</w:t>
            </w:r>
          </w:p>
          <w:p w14:paraId="01E769E4" w14:textId="77777777" w:rsidR="00795E6E" w:rsidRPr="0021572A" w:rsidRDefault="00724167" w:rsidP="00B305AD">
            <w:pPr>
              <w:pStyle w:val="NoSpacing"/>
              <w:rPr>
                <w:rFonts w:ascii="Tw Cen MT" w:hAnsi="Tw Cen MT"/>
                <w:sz w:val="24"/>
                <w:szCs w:val="18"/>
              </w:rPr>
            </w:pPr>
            <w:hyperlink r:id="rId55" w:history="1">
              <w:r w:rsidR="00795E6E" w:rsidRPr="0021572A">
                <w:rPr>
                  <w:rFonts w:ascii="Tw Cen MT" w:hAnsi="Tw Cen MT"/>
                  <w:color w:val="0000FF"/>
                  <w:sz w:val="24"/>
                  <w:szCs w:val="18"/>
                  <w:u w:val="single"/>
                </w:rPr>
                <w:t>Chapter 392-190 WAC</w:t>
              </w:r>
            </w:hyperlink>
            <w:r w:rsidR="00795E6E" w:rsidRPr="0021572A">
              <w:rPr>
                <w:rFonts w:ascii="Tw Cen MT" w:hAnsi="Tw Cen MT"/>
                <w:sz w:val="24"/>
                <w:szCs w:val="18"/>
              </w:rPr>
              <w:t xml:space="preserve"> – Equal educational opportunity – Unlawful discrimination prohibited</w:t>
            </w:r>
          </w:p>
          <w:p w14:paraId="25D6101E" w14:textId="77777777" w:rsidR="00795E6E" w:rsidRPr="0021572A" w:rsidRDefault="00724167" w:rsidP="00B305AD">
            <w:pPr>
              <w:pStyle w:val="NoSpacing"/>
              <w:rPr>
                <w:rFonts w:ascii="Tw Cen MT" w:hAnsi="Tw Cen MT"/>
                <w:sz w:val="24"/>
                <w:szCs w:val="18"/>
              </w:rPr>
            </w:pPr>
            <w:hyperlink r:id="rId56" w:history="1">
              <w:r w:rsidR="00795E6E" w:rsidRPr="0021572A">
                <w:rPr>
                  <w:rFonts w:ascii="Tw Cen MT" w:hAnsi="Tw Cen MT"/>
                  <w:color w:val="0000FF"/>
                  <w:sz w:val="24"/>
                  <w:szCs w:val="18"/>
                  <w:u w:val="single"/>
                </w:rPr>
                <w:t>Chapter 49.60 RCW</w:t>
              </w:r>
            </w:hyperlink>
            <w:r w:rsidR="00795E6E" w:rsidRPr="0021572A">
              <w:rPr>
                <w:rFonts w:ascii="Tw Cen MT" w:hAnsi="Tw Cen MT"/>
                <w:sz w:val="24"/>
                <w:szCs w:val="18"/>
              </w:rPr>
              <w:br/>
              <w:t>Washington Law Against Discrimination*</w:t>
            </w:r>
          </w:p>
          <w:p w14:paraId="203522E6" w14:textId="77777777" w:rsidR="00795E6E" w:rsidRPr="0021572A" w:rsidRDefault="00724167" w:rsidP="00B305AD">
            <w:pPr>
              <w:pStyle w:val="NoSpacing"/>
              <w:rPr>
                <w:rFonts w:ascii="Tw Cen MT" w:hAnsi="Tw Cen MT"/>
                <w:sz w:val="24"/>
                <w:szCs w:val="18"/>
              </w:rPr>
            </w:pPr>
            <w:hyperlink r:id="rId57" w:history="1">
              <w:r w:rsidR="00795E6E" w:rsidRPr="0021572A">
                <w:rPr>
                  <w:rFonts w:ascii="Tw Cen MT" w:hAnsi="Tw Cen MT"/>
                  <w:color w:val="0000FF"/>
                  <w:sz w:val="24"/>
                  <w:szCs w:val="18"/>
                  <w:u w:val="single"/>
                </w:rPr>
                <w:t>OSPI Guidelines: Prohibiting Discrimination in Washington Public Schools</w:t>
              </w:r>
            </w:hyperlink>
          </w:p>
        </w:tc>
      </w:tr>
      <w:tr w:rsidR="00795E6E" w:rsidRPr="0021572A" w14:paraId="1C52A058" w14:textId="77777777" w:rsidTr="004116FD">
        <w:trPr>
          <w:trHeight w:val="20"/>
        </w:trPr>
        <w:tc>
          <w:tcPr>
            <w:tcW w:w="803" w:type="pct"/>
            <w:vAlign w:val="center"/>
            <w:hideMark/>
          </w:tcPr>
          <w:p w14:paraId="5EA64718" w14:textId="77777777" w:rsidR="00795E6E" w:rsidRPr="00260A7E" w:rsidRDefault="00795E6E" w:rsidP="00F37F31">
            <w:pPr>
              <w:pStyle w:val="NoSpacing"/>
              <w:jc w:val="center"/>
              <w:rPr>
                <w:rFonts w:ascii="Tw Cen MT" w:hAnsi="Tw Cen MT"/>
                <w:color w:val="92278F" w:themeColor="accent1"/>
                <w:sz w:val="24"/>
                <w:szCs w:val="18"/>
              </w:rPr>
            </w:pPr>
            <w:r w:rsidRPr="00260A7E">
              <w:rPr>
                <w:rFonts w:ascii="Tw Cen MT" w:hAnsi="Tw Cen MT"/>
                <w:bCs/>
                <w:color w:val="92278F" w:themeColor="accent1"/>
                <w:sz w:val="24"/>
                <w:szCs w:val="18"/>
              </w:rPr>
              <w:t>Gender Identity and Expression</w:t>
            </w:r>
          </w:p>
        </w:tc>
        <w:tc>
          <w:tcPr>
            <w:tcW w:w="1855" w:type="pct"/>
            <w:hideMark/>
          </w:tcPr>
          <w:p w14:paraId="2C023BE9" w14:textId="77777777" w:rsidR="00795E6E" w:rsidRPr="0021572A" w:rsidRDefault="00724167" w:rsidP="00B305AD">
            <w:pPr>
              <w:pStyle w:val="NoSpacing"/>
              <w:rPr>
                <w:rFonts w:ascii="Tw Cen MT" w:hAnsi="Tw Cen MT"/>
                <w:sz w:val="24"/>
                <w:szCs w:val="18"/>
              </w:rPr>
            </w:pPr>
            <w:hyperlink r:id="rId58" w:history="1">
              <w:r w:rsidR="00795E6E" w:rsidRPr="0021572A">
                <w:rPr>
                  <w:rFonts w:ascii="Tw Cen MT" w:hAnsi="Tw Cen MT"/>
                  <w:color w:val="0000FF"/>
                  <w:sz w:val="24"/>
                  <w:szCs w:val="18"/>
                  <w:u w:val="single"/>
                </w:rPr>
                <w:t>Title IX of the Education Amendments of 1972</w:t>
              </w:r>
            </w:hyperlink>
            <w:r w:rsidR="00795E6E" w:rsidRPr="0021572A">
              <w:rPr>
                <w:rFonts w:ascii="Tw Cen MT" w:hAnsi="Tw Cen MT"/>
                <w:sz w:val="24"/>
                <w:szCs w:val="18"/>
              </w:rPr>
              <w:t xml:space="preserve"> (34 C.F.R. Part 106)</w:t>
            </w:r>
            <w:r w:rsidR="00795E6E" w:rsidRPr="0021572A">
              <w:rPr>
                <w:rFonts w:ascii="Tw Cen MT" w:hAnsi="Tw Cen MT"/>
                <w:sz w:val="24"/>
                <w:szCs w:val="18"/>
              </w:rPr>
              <w:br/>
              <w:t xml:space="preserve">Title IX prohibits discrimination based on sex and sex-stereotyping, such as discrimination based on a person’s failure to conform to stereotypical notions of masculinity and femininity. </w:t>
            </w:r>
          </w:p>
        </w:tc>
        <w:tc>
          <w:tcPr>
            <w:tcW w:w="2342" w:type="pct"/>
            <w:hideMark/>
          </w:tcPr>
          <w:p w14:paraId="6CC12B77" w14:textId="77777777" w:rsidR="00795E6E" w:rsidRPr="0021572A" w:rsidRDefault="00724167" w:rsidP="00B305AD">
            <w:pPr>
              <w:pStyle w:val="NoSpacing"/>
              <w:rPr>
                <w:rFonts w:ascii="Tw Cen MT" w:hAnsi="Tw Cen MT"/>
                <w:sz w:val="24"/>
                <w:szCs w:val="18"/>
              </w:rPr>
            </w:pPr>
            <w:hyperlink r:id="rId59" w:history="1">
              <w:r w:rsidR="00795E6E" w:rsidRPr="0021572A">
                <w:rPr>
                  <w:rFonts w:ascii="Tw Cen MT" w:hAnsi="Tw Cen MT"/>
                  <w:color w:val="0000FF"/>
                  <w:sz w:val="24"/>
                  <w:szCs w:val="18"/>
                  <w:u w:val="single"/>
                </w:rPr>
                <w:t>Chapter 28A.642 RCW</w:t>
              </w:r>
            </w:hyperlink>
            <w:r w:rsidR="00795E6E" w:rsidRPr="0021572A">
              <w:rPr>
                <w:rFonts w:ascii="Tw Cen MT" w:hAnsi="Tw Cen MT"/>
                <w:sz w:val="24"/>
                <w:szCs w:val="18"/>
              </w:rPr>
              <w:t xml:space="preserve"> - Common school provisions – Discrimination prohibition</w:t>
            </w:r>
          </w:p>
          <w:p w14:paraId="49AD5B8E" w14:textId="77777777" w:rsidR="00795E6E" w:rsidRPr="0021572A" w:rsidRDefault="00724167" w:rsidP="00B305AD">
            <w:pPr>
              <w:pStyle w:val="NoSpacing"/>
              <w:rPr>
                <w:rFonts w:ascii="Tw Cen MT" w:hAnsi="Tw Cen MT"/>
                <w:sz w:val="24"/>
                <w:szCs w:val="18"/>
              </w:rPr>
            </w:pPr>
            <w:hyperlink r:id="rId60" w:history="1">
              <w:r w:rsidR="00795E6E" w:rsidRPr="0021572A">
                <w:rPr>
                  <w:rFonts w:ascii="Tw Cen MT" w:hAnsi="Tw Cen MT"/>
                  <w:color w:val="0000FF"/>
                  <w:sz w:val="24"/>
                  <w:szCs w:val="18"/>
                  <w:u w:val="single"/>
                </w:rPr>
                <w:t>Chapter 392-190 WAC</w:t>
              </w:r>
            </w:hyperlink>
            <w:r w:rsidR="00795E6E" w:rsidRPr="0021572A">
              <w:rPr>
                <w:rFonts w:ascii="Tw Cen MT" w:hAnsi="Tw Cen MT"/>
                <w:sz w:val="24"/>
                <w:szCs w:val="18"/>
              </w:rPr>
              <w:t xml:space="preserve"> – Equal educational opportunity – Unlawful discrimination prohibited</w:t>
            </w:r>
          </w:p>
          <w:p w14:paraId="1A9E4303" w14:textId="77777777" w:rsidR="00795E6E" w:rsidRPr="0021572A" w:rsidRDefault="00724167" w:rsidP="00B305AD">
            <w:pPr>
              <w:pStyle w:val="NoSpacing"/>
              <w:rPr>
                <w:rFonts w:ascii="Tw Cen MT" w:hAnsi="Tw Cen MT"/>
                <w:sz w:val="24"/>
                <w:szCs w:val="18"/>
              </w:rPr>
            </w:pPr>
            <w:hyperlink r:id="rId61" w:history="1">
              <w:r w:rsidR="00795E6E" w:rsidRPr="0021572A">
                <w:rPr>
                  <w:rFonts w:ascii="Tw Cen MT" w:hAnsi="Tw Cen MT"/>
                  <w:color w:val="0000FF"/>
                  <w:sz w:val="24"/>
                  <w:szCs w:val="18"/>
                  <w:u w:val="single"/>
                </w:rPr>
                <w:t>Chapter 49.60 RCW</w:t>
              </w:r>
            </w:hyperlink>
            <w:r w:rsidR="00795E6E" w:rsidRPr="0021572A">
              <w:rPr>
                <w:rFonts w:ascii="Tw Cen MT" w:hAnsi="Tw Cen MT"/>
                <w:sz w:val="24"/>
                <w:szCs w:val="18"/>
              </w:rPr>
              <w:br/>
              <w:t>Washington Law Against Discrimination*</w:t>
            </w:r>
          </w:p>
          <w:p w14:paraId="447D7732" w14:textId="77777777" w:rsidR="00795E6E" w:rsidRPr="0021572A" w:rsidRDefault="00724167" w:rsidP="00B305AD">
            <w:pPr>
              <w:pStyle w:val="NoSpacing"/>
              <w:rPr>
                <w:rFonts w:ascii="Tw Cen MT" w:hAnsi="Tw Cen MT"/>
                <w:sz w:val="24"/>
                <w:szCs w:val="18"/>
              </w:rPr>
            </w:pPr>
            <w:hyperlink r:id="rId62" w:history="1">
              <w:r w:rsidR="00795E6E" w:rsidRPr="0021572A">
                <w:rPr>
                  <w:rFonts w:ascii="Tw Cen MT" w:hAnsi="Tw Cen MT"/>
                  <w:color w:val="0000FF"/>
                  <w:sz w:val="24"/>
                  <w:szCs w:val="18"/>
                  <w:u w:val="single"/>
                </w:rPr>
                <w:t>OSPI Guidelines: Prohibiting Discrimination in Washington Public Schools</w:t>
              </w:r>
            </w:hyperlink>
          </w:p>
        </w:tc>
      </w:tr>
    </w:tbl>
    <w:p w14:paraId="28DE0804" w14:textId="39F656BA" w:rsidR="00795E6E" w:rsidRPr="00260A7E" w:rsidRDefault="00F37F31" w:rsidP="00260A7E">
      <w:pPr>
        <w:spacing w:after="0"/>
        <w:jc w:val="right"/>
        <w:rPr>
          <w:rFonts w:eastAsia="Times New Roman"/>
          <w:sz w:val="20"/>
          <w:szCs w:val="24"/>
        </w:rPr>
      </w:pPr>
      <w:r w:rsidRPr="00260A7E">
        <w:rPr>
          <w:rFonts w:eastAsia="Times New Roman"/>
          <w:sz w:val="20"/>
          <w:szCs w:val="24"/>
        </w:rPr>
        <w:t>Source</w:t>
      </w:r>
      <w:r w:rsidR="00187C96" w:rsidRPr="00260A7E">
        <w:rPr>
          <w:rFonts w:eastAsia="Times New Roman"/>
          <w:sz w:val="20"/>
          <w:szCs w:val="24"/>
        </w:rPr>
        <w:t>s</w:t>
      </w:r>
      <w:r w:rsidR="00260A7E" w:rsidRPr="00260A7E">
        <w:rPr>
          <w:rFonts w:eastAsia="Times New Roman"/>
          <w:sz w:val="20"/>
          <w:szCs w:val="24"/>
        </w:rPr>
        <w:t xml:space="preserve">- </w:t>
      </w:r>
      <w:r w:rsidRPr="00260A7E">
        <w:rPr>
          <w:rFonts w:eastAsia="Times New Roman"/>
          <w:sz w:val="20"/>
          <w:szCs w:val="24"/>
        </w:rPr>
        <w:t xml:space="preserve">OSPI Equity and Civil Rights: </w:t>
      </w:r>
      <w:hyperlink r:id="rId63" w:history="1">
        <w:r w:rsidRPr="00260A7E">
          <w:rPr>
            <w:rStyle w:val="Hyperlink"/>
            <w:rFonts w:ascii="Tw Cen MT" w:eastAsia="Times New Roman" w:hAnsi="Tw Cen MT" w:cs="Times New Roman"/>
            <w:bCs/>
            <w:sz w:val="20"/>
            <w:szCs w:val="24"/>
          </w:rPr>
          <w:t>http://www.k12.wa.us/equity/CivilRights/default.aspx</w:t>
        </w:r>
      </w:hyperlink>
      <w:r w:rsidRPr="00260A7E">
        <w:rPr>
          <w:rFonts w:eastAsia="Times New Roman"/>
          <w:sz w:val="20"/>
          <w:szCs w:val="24"/>
        </w:rPr>
        <w:t xml:space="preserve"> </w:t>
      </w:r>
    </w:p>
    <w:p w14:paraId="51A7ED51" w14:textId="6242CAD5" w:rsidR="00187C96" w:rsidRPr="00260A7E" w:rsidRDefault="00187C96" w:rsidP="00260A7E">
      <w:pPr>
        <w:spacing w:after="0"/>
        <w:jc w:val="right"/>
        <w:rPr>
          <w:rFonts w:eastAsia="Times New Roman"/>
          <w:b/>
          <w:sz w:val="20"/>
          <w:szCs w:val="24"/>
        </w:rPr>
      </w:pPr>
      <w:r w:rsidRPr="00260A7E">
        <w:rPr>
          <w:rFonts w:eastAsia="Times New Roman"/>
          <w:sz w:val="20"/>
          <w:szCs w:val="24"/>
        </w:rPr>
        <w:t xml:space="preserve">U.S. Department of Education: </w:t>
      </w:r>
      <w:hyperlink r:id="rId64" w:history="1">
        <w:r w:rsidRPr="00260A7E">
          <w:rPr>
            <w:rStyle w:val="Hyperlink"/>
            <w:rFonts w:ascii="Tw Cen MT" w:eastAsia="Times New Roman" w:hAnsi="Tw Cen MT" w:cs="Times New Roman"/>
            <w:bCs/>
            <w:sz w:val="20"/>
            <w:szCs w:val="24"/>
          </w:rPr>
          <w:t>https://www2.ed.gov/about/offices/list/ocr/lgbt.html</w:t>
        </w:r>
      </w:hyperlink>
      <w:r w:rsidRPr="00260A7E">
        <w:rPr>
          <w:rFonts w:eastAsia="Times New Roman"/>
          <w:sz w:val="20"/>
          <w:szCs w:val="24"/>
        </w:rPr>
        <w:t xml:space="preserve"> </w:t>
      </w:r>
    </w:p>
    <w:p w14:paraId="0D597933" w14:textId="77777777" w:rsidR="003C7C0F" w:rsidRPr="0021572A" w:rsidRDefault="003C7C0F" w:rsidP="004E5FBC">
      <w:pPr>
        <w:pStyle w:val="ListParagraph"/>
        <w:numPr>
          <w:ilvl w:val="0"/>
          <w:numId w:val="30"/>
        </w:numPr>
        <w:spacing w:before="240" w:line="240" w:lineRule="auto"/>
        <w:ind w:right="117"/>
        <w:rPr>
          <w:rFonts w:ascii="Tw Cen MT" w:eastAsia="Times New Roman" w:hAnsi="Tw Cen MT" w:cs="Times New Roman"/>
          <w:sz w:val="24"/>
          <w:szCs w:val="24"/>
        </w:rPr>
      </w:pPr>
      <w:r w:rsidRPr="0021572A">
        <w:rPr>
          <w:rFonts w:ascii="Tw Cen MT" w:eastAsia="Times New Roman" w:hAnsi="Tw Cen MT" w:cs="Times New Roman"/>
          <w:b/>
          <w:sz w:val="24"/>
          <w:szCs w:val="24"/>
          <w:u w:val="single"/>
        </w:rPr>
        <w:t>Title IX of the 1964 Civil Rights Act</w:t>
      </w:r>
      <w:r w:rsidR="00795E6E" w:rsidRPr="0021572A">
        <w:rPr>
          <w:rFonts w:ascii="Tw Cen MT" w:eastAsia="Times New Roman" w:hAnsi="Tw Cen MT" w:cs="Times New Roman"/>
          <w:b/>
          <w:sz w:val="24"/>
          <w:szCs w:val="24"/>
          <w:u w:val="single"/>
        </w:rPr>
        <w:t>:</w:t>
      </w:r>
      <w:r w:rsidRPr="0021572A">
        <w:rPr>
          <w:rFonts w:ascii="Tw Cen MT" w:eastAsia="Times New Roman" w:hAnsi="Tw Cen MT" w:cs="Times New Roman"/>
          <w:sz w:val="24"/>
          <w:szCs w:val="24"/>
        </w:rPr>
        <w:t xml:space="preserve"> </w:t>
      </w:r>
      <w:r w:rsidR="00795E6E" w:rsidRPr="0021572A">
        <w:rPr>
          <w:rFonts w:ascii="Tw Cen MT" w:eastAsia="Times New Roman" w:hAnsi="Tw Cen MT" w:cs="Times New Roman"/>
          <w:sz w:val="24"/>
          <w:szCs w:val="24"/>
        </w:rPr>
        <w:t xml:space="preserve">Title IX </w:t>
      </w:r>
      <w:r w:rsidRPr="0021572A">
        <w:rPr>
          <w:rFonts w:ascii="Tw Cen MT" w:eastAsia="Times New Roman" w:hAnsi="Tw Cen MT" w:cs="Times New Roman"/>
          <w:sz w:val="24"/>
          <w:szCs w:val="24"/>
        </w:rPr>
        <w:t xml:space="preserve">prohibits discrimination based on sex in education programs or activities that receive Federal financial assistance. Title IX applies to institutions that receive federal financial assistance from </w:t>
      </w:r>
      <w:r w:rsidRPr="0021572A">
        <w:rPr>
          <w:rFonts w:ascii="Tw Cen MT" w:hAnsi="Tw Cen MT"/>
          <w:sz w:val="24"/>
          <w:szCs w:val="24"/>
        </w:rPr>
        <w:t>U.S. Department of Education (ED)</w:t>
      </w:r>
      <w:r w:rsidRPr="0021572A">
        <w:rPr>
          <w:rFonts w:ascii="Tw Cen MT" w:eastAsia="Times New Roman" w:hAnsi="Tw Cen MT" w:cs="Times New Roman"/>
          <w:sz w:val="24"/>
          <w:szCs w:val="24"/>
        </w:rPr>
        <w:t xml:space="preserve">, including state and local educational agencies. These agencies include approximately 16,500 local school districts and 7,000 postsecondary institutions. </w:t>
      </w:r>
    </w:p>
    <w:p w14:paraId="3C8B4E47" w14:textId="77777777" w:rsidR="00F37F31" w:rsidRPr="0021572A" w:rsidRDefault="00F37F31" w:rsidP="004E5FBC">
      <w:pPr>
        <w:pStyle w:val="ListParagraph"/>
        <w:spacing w:before="54" w:line="240" w:lineRule="auto"/>
        <w:ind w:right="117"/>
        <w:rPr>
          <w:rFonts w:ascii="Tw Cen MT" w:eastAsia="Times New Roman" w:hAnsi="Tw Cen MT" w:cs="Times New Roman"/>
          <w:sz w:val="24"/>
          <w:szCs w:val="24"/>
        </w:rPr>
      </w:pPr>
    </w:p>
    <w:p w14:paraId="4746CED6" w14:textId="3F266C59" w:rsidR="003C7C0F" w:rsidRPr="0021572A" w:rsidRDefault="00187C96" w:rsidP="004E5FBC">
      <w:pPr>
        <w:pStyle w:val="ListParagraph"/>
        <w:spacing w:after="0" w:line="240" w:lineRule="auto"/>
        <w:rPr>
          <w:rFonts w:ascii="Tw Cen MT" w:eastAsia="Times New Roman" w:hAnsi="Tw Cen MT" w:cs="Times New Roman"/>
          <w:sz w:val="24"/>
          <w:szCs w:val="24"/>
        </w:rPr>
      </w:pPr>
      <w:r>
        <w:rPr>
          <w:rFonts w:ascii="Tw Cen MT" w:eastAsia="Times New Roman" w:hAnsi="Tw Cen MT" w:cs="Times New Roman"/>
          <w:sz w:val="24"/>
          <w:szCs w:val="24"/>
        </w:rPr>
        <w:lastRenderedPageBreak/>
        <w:t xml:space="preserve">In 2016, </w:t>
      </w:r>
      <w:r w:rsidR="003C7C0F" w:rsidRPr="0021572A">
        <w:rPr>
          <w:rFonts w:ascii="Tw Cen MT" w:eastAsia="Times New Roman" w:hAnsi="Tw Cen MT" w:cs="Times New Roman"/>
          <w:sz w:val="24"/>
          <w:szCs w:val="24"/>
        </w:rPr>
        <w:t xml:space="preserve">ED has stated that Title IX’s prohibition of sex discrimination encompasses </w:t>
      </w:r>
      <w:r w:rsidR="003C7C0F" w:rsidRPr="0021572A">
        <w:rPr>
          <w:rFonts w:ascii="Tw Cen MT" w:eastAsia="Times New Roman" w:hAnsi="Tw Cen MT" w:cs="Times New Roman"/>
          <w:b/>
          <w:sz w:val="24"/>
          <w:szCs w:val="24"/>
        </w:rPr>
        <w:t>gender identity</w:t>
      </w:r>
      <w:r w:rsidR="003C7C0F" w:rsidRPr="0021572A">
        <w:rPr>
          <w:rFonts w:ascii="Tw Cen MT" w:eastAsia="Times New Roman" w:hAnsi="Tw Cen MT" w:cs="Times New Roman"/>
          <w:sz w:val="24"/>
          <w:szCs w:val="24"/>
        </w:rPr>
        <w:t xml:space="preserve">. The U.S. Department  of  Justice  (DOJ)  and  the ED affirmed that transgender students should not be singled out to use a separate, designated restroom or made to room separately (see </w:t>
      </w:r>
      <w:hyperlink r:id="rId65" w:anchor="In%20The%20News:%20The%20Federal%20Government%20Protects%20Trans%20Students" w:tgtFrame="_blank" w:history="1">
        <w:r w:rsidR="003C7C0F" w:rsidRPr="001F06A4">
          <w:rPr>
            <w:rStyle w:val="Hyperlink"/>
            <w:sz w:val="24"/>
          </w:rPr>
          <w:t>“The Federal Government Protects Trans Students”</w:t>
        </w:r>
      </w:hyperlink>
      <w:r w:rsidR="003C7C0F" w:rsidRPr="0021572A">
        <w:rPr>
          <w:rFonts w:ascii="Tw Cen MT" w:eastAsia="Times New Roman" w:hAnsi="Tw Cen MT" w:cs="Times New Roman"/>
          <w:sz w:val="24"/>
          <w:szCs w:val="24"/>
        </w:rPr>
        <w:t xml:space="preserve">). They must be treated in accordance with the student’s gender identity for all purposes. That means transgender women should be treated like </w:t>
      </w:r>
      <w:r w:rsidR="003C7C0F" w:rsidRPr="0021572A">
        <w:rPr>
          <w:rFonts w:ascii="Tw Cen MT" w:eastAsia="Times New Roman" w:hAnsi="Tw Cen MT" w:cs="Times New Roman"/>
          <w:b/>
          <w:i/>
          <w:sz w:val="24"/>
          <w:szCs w:val="24"/>
        </w:rPr>
        <w:t xml:space="preserve">cisgender </w:t>
      </w:r>
      <w:r w:rsidR="003C7C0F" w:rsidRPr="0021572A">
        <w:rPr>
          <w:rFonts w:ascii="Tw Cen MT" w:eastAsia="Times New Roman" w:hAnsi="Tw Cen MT" w:cs="Times New Roman"/>
          <w:sz w:val="24"/>
          <w:szCs w:val="24"/>
        </w:rPr>
        <w:t xml:space="preserve">women (or </w:t>
      </w:r>
      <w:r w:rsidR="003C7C0F" w:rsidRPr="0021572A">
        <w:rPr>
          <w:rFonts w:ascii="Tw Cen MT" w:hAnsi="Tw Cen MT"/>
          <w:sz w:val="24"/>
          <w:szCs w:val="24"/>
        </w:rPr>
        <w:t>person whose gender identity corresponds with the sex the person had or was identified as having at birth)</w:t>
      </w:r>
      <w:r w:rsidR="003C7C0F" w:rsidRPr="0021572A">
        <w:rPr>
          <w:rFonts w:ascii="Tw Cen MT" w:eastAsia="Times New Roman" w:hAnsi="Tw Cen MT" w:cs="Times New Roman"/>
          <w:sz w:val="24"/>
          <w:szCs w:val="24"/>
        </w:rPr>
        <w:t>, and transgender men must be treated like cisgender men. This applies to transgender students in K-12 as well as at colleges and universities.</w:t>
      </w:r>
    </w:p>
    <w:p w14:paraId="22E7511C" w14:textId="73769AD3" w:rsidR="005169A5" w:rsidRPr="005169A5" w:rsidRDefault="004E5FBC" w:rsidP="004E5FBC">
      <w:pPr>
        <w:pStyle w:val="NormalWeb"/>
        <w:numPr>
          <w:ilvl w:val="1"/>
          <w:numId w:val="30"/>
        </w:numPr>
        <w:spacing w:after="0" w:line="240" w:lineRule="auto"/>
        <w:jc w:val="left"/>
        <w:rPr>
          <w:rFonts w:ascii="Tw Cen MT" w:hAnsi="Tw Cen MT"/>
          <w:sz w:val="24"/>
          <w:szCs w:val="24"/>
        </w:rPr>
      </w:pPr>
      <w:r>
        <w:rPr>
          <w:rFonts w:ascii="Tw Cen MT" w:hAnsi="Tw Cen MT"/>
          <w:sz w:val="24"/>
          <w:szCs w:val="24"/>
        </w:rPr>
        <w:t>See</w:t>
      </w:r>
      <w:r w:rsidR="00795E6E" w:rsidRPr="0021572A">
        <w:rPr>
          <w:rFonts w:ascii="Tw Cen MT" w:hAnsi="Tw Cen MT"/>
          <w:sz w:val="24"/>
          <w:szCs w:val="24"/>
        </w:rPr>
        <w:t xml:space="preserve">: </w:t>
      </w:r>
      <w:hyperlink r:id="rId66" w:tgtFrame="_blank" w:history="1">
        <w:r w:rsidR="00795E6E" w:rsidRPr="0021572A">
          <w:rPr>
            <w:rStyle w:val="Hyperlink"/>
            <w:rFonts w:ascii="Tw Cen MT" w:hAnsi="Tw Cen MT"/>
            <w:sz w:val="24"/>
            <w:szCs w:val="24"/>
          </w:rPr>
          <w:t>Dear Colleague letter</w:t>
        </w:r>
      </w:hyperlink>
      <w:r w:rsidR="00795E6E" w:rsidRPr="0021572A">
        <w:rPr>
          <w:rFonts w:ascii="Tw Cen MT" w:hAnsi="Tw Cen MT"/>
          <w:sz w:val="24"/>
          <w:szCs w:val="24"/>
        </w:rPr>
        <w:t xml:space="preserve"> from U.S. Department of Education (ED) and the U.S. Department of Justice (</w:t>
      </w:r>
      <w:r w:rsidR="005169A5">
        <w:rPr>
          <w:rFonts w:ascii="Tw Cen MT" w:hAnsi="Tw Cen MT"/>
          <w:sz w:val="24"/>
          <w:szCs w:val="24"/>
        </w:rPr>
        <w:t xml:space="preserve">DOJ) under the Obama administration, </w:t>
      </w:r>
      <w:r w:rsidR="00795E6E" w:rsidRPr="0021572A">
        <w:rPr>
          <w:rFonts w:ascii="Tw Cen MT" w:hAnsi="Tw Cen MT"/>
          <w:sz w:val="24"/>
          <w:szCs w:val="24"/>
        </w:rPr>
        <w:t>which summarizes a school’s Title IX obligations regarding transgender students</w:t>
      </w:r>
      <w:r w:rsidR="00795E6E" w:rsidRPr="0021572A">
        <w:rPr>
          <w:rFonts w:ascii="Tw Cen MT" w:hAnsi="Tw Cen MT"/>
          <w:sz w:val="22"/>
          <w:szCs w:val="20"/>
        </w:rPr>
        <w:t xml:space="preserve"> </w:t>
      </w:r>
      <w:r w:rsidR="00795E6E" w:rsidRPr="0021572A">
        <w:rPr>
          <w:rFonts w:ascii="Tw Cen MT" w:hAnsi="Tw Cen MT"/>
          <w:sz w:val="24"/>
          <w:szCs w:val="20"/>
        </w:rPr>
        <w:t xml:space="preserve">and explains how the ED and DOJ evaluate a school’s compliance </w:t>
      </w:r>
      <w:r w:rsidR="00795E6E" w:rsidRPr="005169A5">
        <w:rPr>
          <w:rFonts w:ascii="Tw Cen MT" w:hAnsi="Tw Cen MT"/>
          <w:sz w:val="24"/>
          <w:szCs w:val="24"/>
        </w:rPr>
        <w:t xml:space="preserve">with these obligations. Accompanying this letter is a separate document from ED called </w:t>
      </w:r>
      <w:hyperlink r:id="rId67" w:history="1">
        <w:r w:rsidR="00795E6E" w:rsidRPr="005169A5">
          <w:rPr>
            <w:rFonts w:ascii="Tw Cen MT" w:hAnsi="Tw Cen MT"/>
            <w:sz w:val="24"/>
            <w:szCs w:val="24"/>
          </w:rPr>
          <w:t>Examples of Policies and Emerging Practices for Supporting Transgender Students</w:t>
        </w:r>
      </w:hyperlink>
      <w:r w:rsidR="00795E6E" w:rsidRPr="005169A5">
        <w:rPr>
          <w:rFonts w:ascii="Tw Cen MT" w:hAnsi="Tw Cen MT"/>
          <w:sz w:val="24"/>
          <w:szCs w:val="24"/>
        </w:rPr>
        <w:t>, which outlines policy suggestions.  </w:t>
      </w:r>
    </w:p>
    <w:p w14:paraId="73513A37" w14:textId="3E6637A4" w:rsidR="00187C96" w:rsidRPr="005169A5" w:rsidRDefault="005169A5" w:rsidP="004E5FBC">
      <w:pPr>
        <w:pStyle w:val="NormalWeb"/>
        <w:numPr>
          <w:ilvl w:val="1"/>
          <w:numId w:val="30"/>
        </w:numPr>
        <w:spacing w:line="240" w:lineRule="auto"/>
        <w:jc w:val="left"/>
        <w:rPr>
          <w:rFonts w:ascii="Tw Cen MT" w:hAnsi="Tw Cen MT"/>
          <w:sz w:val="24"/>
          <w:szCs w:val="24"/>
        </w:rPr>
      </w:pPr>
      <w:r w:rsidRPr="005169A5">
        <w:rPr>
          <w:rFonts w:ascii="Tw Cen MT" w:hAnsi="Tw Cen MT"/>
          <w:b/>
          <w:color w:val="FF0000"/>
          <w:sz w:val="24"/>
          <w:szCs w:val="24"/>
        </w:rPr>
        <w:t>Status Update</w:t>
      </w:r>
      <w:r w:rsidR="00187C96" w:rsidRPr="005169A5">
        <w:rPr>
          <w:rFonts w:ascii="Tw Cen MT" w:hAnsi="Tw Cen MT"/>
          <w:b/>
          <w:color w:val="FF0000"/>
          <w:sz w:val="24"/>
          <w:szCs w:val="24"/>
        </w:rPr>
        <w:t xml:space="preserve">: </w:t>
      </w:r>
      <w:r w:rsidR="00187C96" w:rsidRPr="005169A5">
        <w:rPr>
          <w:rFonts w:ascii="Tw Cen MT" w:hAnsi="Tw Cen MT"/>
          <w:sz w:val="24"/>
          <w:szCs w:val="24"/>
        </w:rPr>
        <w:t>In 2017, the Department of Justice and the Department of Education</w:t>
      </w:r>
      <w:r w:rsidRPr="005169A5">
        <w:rPr>
          <w:rFonts w:ascii="Tw Cen MT" w:hAnsi="Tw Cen MT"/>
          <w:sz w:val="24"/>
          <w:szCs w:val="24"/>
        </w:rPr>
        <w:t xml:space="preserve"> under the Trump administration </w:t>
      </w:r>
      <w:r w:rsidR="00187C96" w:rsidRPr="005169A5">
        <w:rPr>
          <w:rFonts w:ascii="Tw Cen MT" w:hAnsi="Tw Cen MT"/>
          <w:sz w:val="24"/>
          <w:szCs w:val="24"/>
        </w:rPr>
        <w:t xml:space="preserve">withdrew the statements of policy and guidance reflected in the 2016 Dear Colleague Letter. </w:t>
      </w:r>
      <w:r w:rsidRPr="005169A5">
        <w:rPr>
          <w:rFonts w:ascii="Tw Cen MT" w:hAnsi="Tw Cen MT"/>
          <w:sz w:val="24"/>
          <w:szCs w:val="24"/>
        </w:rPr>
        <w:t xml:space="preserve">This issue of whether Title IX protects gender identity is currently under litigation. </w:t>
      </w:r>
    </w:p>
    <w:p w14:paraId="4357E0CA" w14:textId="77777777" w:rsidR="003C7C0F" w:rsidRPr="0021572A" w:rsidRDefault="003C7C0F" w:rsidP="004E5FBC">
      <w:pPr>
        <w:pStyle w:val="ListParagraph"/>
        <w:numPr>
          <w:ilvl w:val="0"/>
          <w:numId w:val="30"/>
        </w:numPr>
        <w:spacing w:before="100" w:beforeAutospacing="1" w:after="100" w:afterAutospacing="1" w:line="240" w:lineRule="auto"/>
        <w:rPr>
          <w:rFonts w:ascii="Tw Cen MT" w:eastAsia="Times New Roman" w:hAnsi="Tw Cen MT" w:cs="Times New Roman"/>
          <w:b/>
          <w:sz w:val="24"/>
          <w:szCs w:val="20"/>
        </w:rPr>
      </w:pPr>
      <w:r w:rsidRPr="0021572A">
        <w:rPr>
          <w:rFonts w:ascii="Tw Cen MT" w:eastAsia="Times New Roman" w:hAnsi="Tw Cen MT" w:cs="Times New Roman"/>
          <w:b/>
          <w:sz w:val="24"/>
          <w:szCs w:val="20"/>
          <w:u w:val="single"/>
        </w:rPr>
        <w:t>The Family Educational Rights and Privacy Act (FERPA)</w:t>
      </w:r>
      <w:r w:rsidR="00795E6E" w:rsidRPr="0021572A">
        <w:rPr>
          <w:rFonts w:ascii="Tw Cen MT" w:eastAsia="Times New Roman" w:hAnsi="Tw Cen MT" w:cs="Times New Roman"/>
          <w:b/>
          <w:sz w:val="24"/>
          <w:szCs w:val="20"/>
          <w:u w:val="single"/>
        </w:rPr>
        <w:t>:</w:t>
      </w:r>
      <w:r w:rsidRPr="0021572A">
        <w:rPr>
          <w:rFonts w:ascii="Tw Cen MT" w:eastAsia="Times New Roman" w:hAnsi="Tw Cen MT" w:cs="Times New Roman"/>
          <w:sz w:val="24"/>
          <w:szCs w:val="20"/>
        </w:rPr>
        <w:t xml:space="preserve"> </w:t>
      </w:r>
      <w:r w:rsidR="00795E6E" w:rsidRPr="0021572A">
        <w:rPr>
          <w:rFonts w:ascii="Tw Cen MT" w:eastAsia="Times New Roman" w:hAnsi="Tw Cen MT" w:cs="Times New Roman"/>
          <w:sz w:val="24"/>
          <w:szCs w:val="20"/>
        </w:rPr>
        <w:t>This</w:t>
      </w:r>
      <w:r w:rsidRPr="0021572A">
        <w:rPr>
          <w:rFonts w:ascii="Tw Cen MT" w:eastAsia="Times New Roman" w:hAnsi="Tw Cen MT" w:cs="Times New Roman"/>
          <w:sz w:val="24"/>
          <w:szCs w:val="20"/>
        </w:rPr>
        <w:t xml:space="preserve"> federal law that protects the privacy of student educational records and gives current and former students the right to amend those records  to  match  their  legal  documents  if  they  are  “inaccurate, misleading, or in violation of the student’s rights of privacy.”</w:t>
      </w:r>
      <w:r w:rsidRPr="0021572A">
        <w:rPr>
          <w:rFonts w:ascii="Tw Cen MT" w:eastAsia="Times New Roman" w:hAnsi="Tw Cen MT" w:cs="Times New Roman"/>
          <w:b/>
          <w:sz w:val="24"/>
          <w:szCs w:val="20"/>
        </w:rPr>
        <w:t xml:space="preserve"> Once a student reaches 18, their parents do not have access to these records unless the student grants permission. (For more information, see </w:t>
      </w:r>
      <w:hyperlink r:id="rId68" w:tgtFrame="_blank" w:history="1">
        <w:r w:rsidRPr="001F06A4">
          <w:rPr>
            <w:rStyle w:val="Hyperlink"/>
            <w:sz w:val="24"/>
            <w:szCs w:val="24"/>
          </w:rPr>
          <w:t>“A Transgender Advocate’s Guide To Updating and Amending School Records”</w:t>
        </w:r>
      </w:hyperlink>
      <w:r w:rsidRPr="001F06A4">
        <w:rPr>
          <w:rFonts w:ascii="Tw Cen MT" w:eastAsia="Times New Roman" w:hAnsi="Tw Cen MT" w:cs="Times New Roman"/>
          <w:b/>
          <w:sz w:val="24"/>
          <w:szCs w:val="24"/>
        </w:rPr>
        <w:t>.)</w:t>
      </w:r>
    </w:p>
    <w:p w14:paraId="41569844" w14:textId="77777777" w:rsidR="0056115D" w:rsidRPr="0021572A" w:rsidRDefault="00795E6E" w:rsidP="004E5FBC">
      <w:pPr>
        <w:pStyle w:val="ListParagraph"/>
        <w:numPr>
          <w:ilvl w:val="0"/>
          <w:numId w:val="30"/>
        </w:numPr>
        <w:spacing w:before="240" w:after="0" w:line="240" w:lineRule="auto"/>
        <w:rPr>
          <w:rFonts w:ascii="Tw Cen MT" w:eastAsia="Times New Roman" w:hAnsi="Tw Cen MT" w:cs="Times New Roman"/>
          <w:sz w:val="24"/>
          <w:szCs w:val="20"/>
        </w:rPr>
      </w:pPr>
      <w:r w:rsidRPr="0021572A">
        <w:rPr>
          <w:rFonts w:ascii="Tw Cen MT" w:eastAsia="Times New Roman" w:hAnsi="Tw Cen MT" w:cs="Times New Roman"/>
          <w:b/>
          <w:sz w:val="24"/>
          <w:szCs w:val="20"/>
          <w:u w:val="single"/>
        </w:rPr>
        <w:t>Washington Law Against Discrimination (WLAD):</w:t>
      </w:r>
      <w:r w:rsidR="0056115D" w:rsidRPr="0021572A">
        <w:rPr>
          <w:rFonts w:ascii="Tw Cen MT" w:hAnsi="Tw Cen MT"/>
          <w:sz w:val="24"/>
          <w:szCs w:val="20"/>
        </w:rPr>
        <w:t xml:space="preserve"> </w:t>
      </w:r>
      <w:r w:rsidR="0056115D" w:rsidRPr="0021572A">
        <w:rPr>
          <w:rFonts w:ascii="Tw Cen MT" w:eastAsia="Times New Roman" w:hAnsi="Tw Cen MT" w:cs="Times New Roman"/>
          <w:sz w:val="24"/>
          <w:szCs w:val="20"/>
        </w:rPr>
        <w:t xml:space="preserve">WLAD protects people from discrimination based on sexual </w:t>
      </w:r>
      <w:proofErr w:type="gramStart"/>
      <w:r w:rsidR="0056115D" w:rsidRPr="0021572A">
        <w:rPr>
          <w:rFonts w:ascii="Tw Cen MT" w:eastAsia="Times New Roman" w:hAnsi="Tw Cen MT" w:cs="Times New Roman"/>
          <w:sz w:val="24"/>
          <w:szCs w:val="20"/>
        </w:rPr>
        <w:t>orientation,*</w:t>
      </w:r>
      <w:proofErr w:type="gramEnd"/>
      <w:r w:rsidR="0056115D" w:rsidRPr="0021572A">
        <w:rPr>
          <w:rFonts w:ascii="Tw Cen MT" w:eastAsia="Times New Roman" w:hAnsi="Tw Cen MT" w:cs="Times New Roman"/>
          <w:sz w:val="24"/>
          <w:szCs w:val="20"/>
        </w:rPr>
        <w:t>* which is inclusive of gender expression or actual or perceived gender identity in these areas:</w:t>
      </w:r>
    </w:p>
    <w:p w14:paraId="321C459E" w14:textId="77777777" w:rsidR="0056115D" w:rsidRPr="0021572A" w:rsidRDefault="0056115D" w:rsidP="004E5FBC">
      <w:pPr>
        <w:pStyle w:val="ListParagraph"/>
        <w:numPr>
          <w:ilvl w:val="1"/>
          <w:numId w:val="30"/>
        </w:numPr>
        <w:spacing w:after="0" w:line="240" w:lineRule="auto"/>
        <w:rPr>
          <w:rFonts w:ascii="Tw Cen MT" w:hAnsi="Tw Cen MT"/>
          <w:sz w:val="24"/>
          <w:szCs w:val="20"/>
        </w:rPr>
      </w:pPr>
      <w:r w:rsidRPr="0021572A">
        <w:rPr>
          <w:rFonts w:ascii="Tw Cen MT" w:hAnsi="Tw Cen MT"/>
          <w:sz w:val="24"/>
          <w:szCs w:val="20"/>
        </w:rPr>
        <w:t>Places of public accommodation (i.e., places that serve the public), including restaurants, hotels, and public schools;</w:t>
      </w:r>
    </w:p>
    <w:p w14:paraId="01A77ADF" w14:textId="77777777" w:rsidR="0056115D" w:rsidRPr="0021572A" w:rsidRDefault="0056115D" w:rsidP="004E5FBC">
      <w:pPr>
        <w:pStyle w:val="ListParagraph"/>
        <w:numPr>
          <w:ilvl w:val="1"/>
          <w:numId w:val="30"/>
        </w:numPr>
        <w:spacing w:after="0" w:line="240" w:lineRule="auto"/>
        <w:rPr>
          <w:rFonts w:ascii="Tw Cen MT" w:hAnsi="Tw Cen MT"/>
          <w:sz w:val="24"/>
          <w:szCs w:val="20"/>
        </w:rPr>
      </w:pPr>
      <w:r w:rsidRPr="0021572A">
        <w:rPr>
          <w:rFonts w:ascii="Tw Cen MT" w:hAnsi="Tw Cen MT"/>
          <w:sz w:val="24"/>
          <w:szCs w:val="20"/>
        </w:rPr>
        <w:t>Housing, including the renting, buying, and selling of homes;</w:t>
      </w:r>
    </w:p>
    <w:p w14:paraId="11216088" w14:textId="77777777" w:rsidR="0056115D" w:rsidRPr="0021572A" w:rsidRDefault="0056115D" w:rsidP="004E5FBC">
      <w:pPr>
        <w:pStyle w:val="ListParagraph"/>
        <w:numPr>
          <w:ilvl w:val="1"/>
          <w:numId w:val="30"/>
        </w:numPr>
        <w:spacing w:after="0" w:line="240" w:lineRule="auto"/>
        <w:rPr>
          <w:rFonts w:ascii="Tw Cen MT" w:hAnsi="Tw Cen MT"/>
          <w:sz w:val="24"/>
          <w:szCs w:val="20"/>
        </w:rPr>
      </w:pPr>
      <w:r w:rsidRPr="0021572A">
        <w:rPr>
          <w:rFonts w:ascii="Tw Cen MT" w:hAnsi="Tw Cen MT"/>
          <w:sz w:val="24"/>
          <w:szCs w:val="20"/>
        </w:rPr>
        <w:t>Employment, specifically in state, municipal, and private workplaces with eight or more employees;</w:t>
      </w:r>
    </w:p>
    <w:p w14:paraId="4880F8A1" w14:textId="77777777" w:rsidR="0056115D" w:rsidRPr="0021572A" w:rsidRDefault="0056115D" w:rsidP="004E5FBC">
      <w:pPr>
        <w:pStyle w:val="ListParagraph"/>
        <w:numPr>
          <w:ilvl w:val="1"/>
          <w:numId w:val="30"/>
        </w:numPr>
        <w:spacing w:after="0" w:line="240" w:lineRule="auto"/>
        <w:rPr>
          <w:rFonts w:ascii="Tw Cen MT" w:hAnsi="Tw Cen MT"/>
          <w:sz w:val="24"/>
          <w:szCs w:val="20"/>
        </w:rPr>
      </w:pPr>
      <w:r w:rsidRPr="0021572A">
        <w:rPr>
          <w:rFonts w:ascii="Tw Cen MT" w:hAnsi="Tw Cen MT"/>
          <w:sz w:val="24"/>
          <w:szCs w:val="20"/>
        </w:rPr>
        <w:t>The extension of credit; and</w:t>
      </w:r>
    </w:p>
    <w:p w14:paraId="16CF18D0" w14:textId="77777777" w:rsidR="00FA5CC4" w:rsidRPr="0021572A" w:rsidRDefault="0056115D" w:rsidP="004E5FBC">
      <w:pPr>
        <w:pStyle w:val="ListParagraph"/>
        <w:numPr>
          <w:ilvl w:val="1"/>
          <w:numId w:val="30"/>
        </w:numPr>
        <w:spacing w:after="0" w:line="240" w:lineRule="auto"/>
        <w:rPr>
          <w:rFonts w:ascii="Tw Cen MT" w:hAnsi="Tw Cen MT"/>
          <w:sz w:val="24"/>
          <w:szCs w:val="20"/>
        </w:rPr>
      </w:pPr>
      <w:r w:rsidRPr="0021572A">
        <w:rPr>
          <w:rFonts w:ascii="Tw Cen MT" w:hAnsi="Tw Cen MT"/>
          <w:sz w:val="24"/>
          <w:szCs w:val="20"/>
        </w:rPr>
        <w:t>Insurance transactions.</w:t>
      </w:r>
    </w:p>
    <w:p w14:paraId="32674C6F" w14:textId="77777777" w:rsidR="00F37F31" w:rsidRPr="0021572A" w:rsidRDefault="00F37F31" w:rsidP="004E5FBC">
      <w:pPr>
        <w:pStyle w:val="ListParagraph"/>
        <w:numPr>
          <w:ilvl w:val="0"/>
          <w:numId w:val="30"/>
        </w:numPr>
        <w:spacing w:line="240" w:lineRule="auto"/>
        <w:rPr>
          <w:rFonts w:ascii="Tw Cen MT" w:hAnsi="Tw Cen MT"/>
          <w:sz w:val="24"/>
          <w:szCs w:val="20"/>
        </w:rPr>
      </w:pPr>
      <w:r w:rsidRPr="0021572A">
        <w:rPr>
          <w:rFonts w:ascii="Tw Cen MT" w:hAnsi="Tw Cen MT"/>
          <w:b/>
          <w:sz w:val="24"/>
          <w:szCs w:val="20"/>
          <w:u w:val="single"/>
        </w:rPr>
        <w:t>HB 3026 / Chapter 28A.642 RCW:</w:t>
      </w:r>
      <w:r w:rsidRPr="0021572A">
        <w:rPr>
          <w:rFonts w:ascii="Tw Cen MT" w:hAnsi="Tw Cen MT"/>
          <w:b/>
          <w:sz w:val="24"/>
          <w:szCs w:val="20"/>
        </w:rPr>
        <w:t xml:space="preserve"> State law that prohibits discrimination </w:t>
      </w:r>
      <w:r w:rsidRPr="0021572A">
        <w:rPr>
          <w:rFonts w:ascii="Tw Cen MT" w:hAnsi="Tw Cen MT"/>
          <w:sz w:val="24"/>
          <w:szCs w:val="20"/>
        </w:rPr>
        <w:t>in Washington public schools, includes sexual orientation and gender expression or identity</w:t>
      </w:r>
      <w:r w:rsidR="000A1236" w:rsidRPr="0021572A">
        <w:rPr>
          <w:rFonts w:ascii="Tw Cen MT" w:hAnsi="Tw Cen MT"/>
          <w:sz w:val="24"/>
          <w:szCs w:val="20"/>
        </w:rPr>
        <w:t xml:space="preserve"> as protected classes</w:t>
      </w:r>
      <w:r w:rsidRPr="0021572A">
        <w:rPr>
          <w:rFonts w:ascii="Tw Cen MT" w:hAnsi="Tw Cen MT"/>
          <w:sz w:val="24"/>
          <w:szCs w:val="20"/>
        </w:rPr>
        <w:t xml:space="preserve">. This law is similar to the sexual equality law already in the school code, </w:t>
      </w:r>
      <w:hyperlink r:id="rId69" w:history="1">
        <w:r w:rsidRPr="0021572A">
          <w:rPr>
            <w:rStyle w:val="Hyperlink"/>
            <w:rFonts w:ascii="Tw Cen MT" w:hAnsi="Tw Cen MT"/>
            <w:sz w:val="24"/>
            <w:szCs w:val="20"/>
          </w:rPr>
          <w:t>chapter 28A.640 RCW</w:t>
        </w:r>
      </w:hyperlink>
      <w:r w:rsidRPr="0021572A">
        <w:rPr>
          <w:rFonts w:ascii="Tw Cen MT" w:hAnsi="Tw Cen MT"/>
          <w:sz w:val="24"/>
          <w:szCs w:val="20"/>
        </w:rPr>
        <w:t xml:space="preserve">, which prohibits discrimination based on sex. </w:t>
      </w:r>
    </w:p>
    <w:p w14:paraId="5423FFAE" w14:textId="77777777" w:rsidR="004E5FBC" w:rsidRDefault="004E5FBC" w:rsidP="004E5FBC">
      <w:pPr>
        <w:pStyle w:val="Heading2"/>
        <w:rPr>
          <w:rFonts w:ascii="Tw Cen MT" w:hAnsi="Tw Cen MT"/>
        </w:rPr>
      </w:pPr>
      <w:bookmarkStart w:id="36" w:name="_Toc451857747"/>
      <w:r>
        <w:rPr>
          <w:rFonts w:ascii="Tw Cen MT" w:hAnsi="Tw Cen MT"/>
        </w:rPr>
        <w:br w:type="page"/>
      </w:r>
    </w:p>
    <w:p w14:paraId="3FEC1BD6" w14:textId="0768A238" w:rsidR="00B12247" w:rsidRPr="00704FC6" w:rsidRDefault="00B12247" w:rsidP="004E5FBC">
      <w:pPr>
        <w:pStyle w:val="Heading2"/>
        <w:rPr>
          <w:rFonts w:ascii="Tw Cen MT" w:hAnsi="Tw Cen MT"/>
        </w:rPr>
      </w:pPr>
      <w:r w:rsidRPr="00704FC6">
        <w:rPr>
          <w:rFonts w:ascii="Tw Cen MT" w:hAnsi="Tw Cen MT"/>
        </w:rPr>
        <w:lastRenderedPageBreak/>
        <w:t>Q: How should K-12 school districts address a student’s name and sex on official records?</w:t>
      </w:r>
      <w:bookmarkEnd w:id="36"/>
    </w:p>
    <w:p w14:paraId="5FF4AE97" w14:textId="77777777" w:rsidR="00B12247" w:rsidRPr="0021572A" w:rsidRDefault="00B12247" w:rsidP="004E5FBC">
      <w:pPr>
        <w:spacing w:after="0" w:line="240" w:lineRule="auto"/>
        <w:rPr>
          <w:rFonts w:ascii="Tw Cen MT" w:hAnsi="Tw Cen MT"/>
          <w:sz w:val="24"/>
        </w:rPr>
      </w:pPr>
      <w:r w:rsidRPr="0021572A">
        <w:rPr>
          <w:rFonts w:ascii="Tw Cen MT" w:hAnsi="Tw Cen MT"/>
          <w:sz w:val="24"/>
        </w:rPr>
        <w:t xml:space="preserve">A: School districts maintain permanent student records that include a student’s legal name and legal gender. To the extent that the school district is not legally required to use a student’s legal name and gender on school records or documents, the district should use the name and gender by which the student identifies. School IDs, for example, are not legal documents and should use the student’s preferred name. The school district should change a student’s official record to reflect a change in the student’s legal name or gender upon receipt of documentation that such change has been made pursuant to a court order or through amendment of state- or </w:t>
      </w:r>
      <w:proofErr w:type="gramStart"/>
      <w:r w:rsidRPr="0021572A">
        <w:rPr>
          <w:rFonts w:ascii="Tw Cen MT" w:hAnsi="Tw Cen MT"/>
          <w:sz w:val="24"/>
        </w:rPr>
        <w:t>federally-issued</w:t>
      </w:r>
      <w:proofErr w:type="gramEnd"/>
      <w:r w:rsidRPr="0021572A">
        <w:rPr>
          <w:rFonts w:ascii="Tw Cen MT" w:hAnsi="Tw Cen MT"/>
          <w:sz w:val="24"/>
        </w:rPr>
        <w:t xml:space="preserve"> identification. In situations where school staff or administrators are required by law to use or report a student’s legal name or gender, such as for standardized testing, school staff should adopt practices to avoid the inadvertent disclosure of such confidential information.</w:t>
      </w:r>
    </w:p>
    <w:p w14:paraId="48DACC7E" w14:textId="77777777" w:rsidR="00F07B54" w:rsidRPr="00704FC6" w:rsidRDefault="00F07B54" w:rsidP="004E5FBC">
      <w:pPr>
        <w:spacing w:after="0" w:line="240" w:lineRule="auto"/>
        <w:rPr>
          <w:rFonts w:ascii="Tw Cen MT" w:hAnsi="Tw Cen MT"/>
          <w:sz w:val="20"/>
        </w:rPr>
      </w:pPr>
    </w:p>
    <w:p w14:paraId="0CE3DE5C" w14:textId="77777777" w:rsidR="00B12247" w:rsidRPr="00704FC6" w:rsidRDefault="00B12247" w:rsidP="004E5FBC">
      <w:pPr>
        <w:pStyle w:val="Heading2"/>
        <w:rPr>
          <w:rFonts w:ascii="Tw Cen MT" w:hAnsi="Tw Cen MT"/>
        </w:rPr>
      </w:pPr>
      <w:bookmarkStart w:id="37" w:name="_Toc451857748"/>
      <w:r w:rsidRPr="00704FC6">
        <w:rPr>
          <w:rFonts w:ascii="Tw Cen MT" w:hAnsi="Tw Cen MT"/>
        </w:rPr>
        <w:t>Q: Should K-12 schools inform staff, students, or parents about a student’s transgender status?</w:t>
      </w:r>
      <w:bookmarkEnd w:id="37"/>
      <w:r w:rsidRPr="00704FC6">
        <w:rPr>
          <w:rFonts w:ascii="Tw Cen MT" w:hAnsi="Tw Cen MT"/>
        </w:rPr>
        <w:t xml:space="preserve"> </w:t>
      </w:r>
    </w:p>
    <w:p w14:paraId="1CD62812" w14:textId="77777777" w:rsidR="00B12247" w:rsidRPr="0021572A" w:rsidRDefault="00B12247" w:rsidP="004E5FBC">
      <w:pPr>
        <w:spacing w:after="0" w:line="240" w:lineRule="auto"/>
        <w:rPr>
          <w:rFonts w:ascii="Tw Cen MT" w:hAnsi="Tw Cen MT"/>
          <w:b/>
          <w:sz w:val="24"/>
          <w:u w:val="single"/>
        </w:rPr>
      </w:pPr>
      <w:r w:rsidRPr="0021572A">
        <w:rPr>
          <w:rFonts w:ascii="Tw Cen MT" w:hAnsi="Tw Cen MT"/>
          <w:sz w:val="24"/>
        </w:rPr>
        <w:t>A: Information about a student’s transgender status, legal name, or gender assigned at birth may constitute confidential medical or education information. Disclosing this information to other students, their parents, or other third parties may violate privacy laws, such as the federal Family Educational Rights and Privacy Act (FERPA) (</w:t>
      </w:r>
      <w:hyperlink r:id="rId70">
        <w:r w:rsidRPr="0021572A">
          <w:rPr>
            <w:rStyle w:val="Hyperlink"/>
            <w:rFonts w:ascii="Tw Cen MT" w:hAnsi="Tw Cen MT"/>
            <w:sz w:val="24"/>
          </w:rPr>
          <w:t>20 U.S.C. § 1232g</w:t>
        </w:r>
      </w:hyperlink>
      <w:r w:rsidRPr="0021572A">
        <w:rPr>
          <w:rFonts w:ascii="Tw Cen MT" w:hAnsi="Tw Cen MT"/>
          <w:sz w:val="24"/>
        </w:rPr>
        <w:t xml:space="preserve">; </w:t>
      </w:r>
      <w:hyperlink r:id="rId71">
        <w:r w:rsidRPr="0021572A">
          <w:rPr>
            <w:rStyle w:val="Hyperlink"/>
            <w:rFonts w:ascii="Tw Cen MT" w:hAnsi="Tw Cen MT"/>
            <w:sz w:val="24"/>
          </w:rPr>
          <w:t>34 C.F.R. Part 99</w:t>
        </w:r>
      </w:hyperlink>
      <w:r w:rsidRPr="0021572A">
        <w:rPr>
          <w:rFonts w:ascii="Tw Cen MT" w:hAnsi="Tw Cen MT"/>
          <w:sz w:val="24"/>
        </w:rPr>
        <w:t xml:space="preserve">). </w:t>
      </w:r>
      <w:r w:rsidRPr="0021572A">
        <w:rPr>
          <w:rFonts w:ascii="Tw Cen MT" w:hAnsi="Tw Cen MT"/>
          <w:b/>
          <w:sz w:val="24"/>
          <w:u w:val="single"/>
        </w:rPr>
        <w:t>School staff should not disclose information that may reveal a student’s transgender status to others, including parents and other school staff, unless legally required to do so or unless the student has authorized such disclosure.</w:t>
      </w:r>
    </w:p>
    <w:p w14:paraId="5ECBFA4D" w14:textId="77777777" w:rsidR="003C7C0F" w:rsidRPr="0021572A" w:rsidRDefault="003C7C0F" w:rsidP="004E5FBC">
      <w:pPr>
        <w:spacing w:after="0" w:line="240" w:lineRule="auto"/>
        <w:rPr>
          <w:rFonts w:ascii="Tw Cen MT" w:hAnsi="Tw Cen MT"/>
          <w:b/>
          <w:sz w:val="22"/>
          <w:u w:val="single"/>
        </w:rPr>
      </w:pPr>
    </w:p>
    <w:bookmarkStart w:id="38" w:name="3"/>
    <w:bookmarkEnd w:id="38"/>
    <w:p w14:paraId="524E4BEA" w14:textId="77777777" w:rsidR="00A813D2" w:rsidRPr="00704FC6" w:rsidRDefault="00A813D2" w:rsidP="004E5FBC">
      <w:pPr>
        <w:spacing w:after="0" w:line="240" w:lineRule="auto"/>
        <w:rPr>
          <w:rFonts w:ascii="Tw Cen MT" w:eastAsia="Times New Roman" w:hAnsi="Tw Cen MT" w:cs="Times New Roman"/>
          <w:b/>
          <w:bCs/>
          <w:sz w:val="20"/>
          <w:szCs w:val="20"/>
        </w:rPr>
      </w:pPr>
      <w:r w:rsidRPr="00704FC6">
        <w:rPr>
          <w:rFonts w:ascii="Tw Cen MT" w:hAnsi="Tw Cen MT"/>
          <w:noProof/>
          <w:sz w:val="20"/>
          <w:szCs w:val="20"/>
        </w:rPr>
        <mc:AlternateContent>
          <mc:Choice Requires="wps">
            <w:drawing>
              <wp:inline distT="0" distB="0" distL="0" distR="0" wp14:anchorId="2050BD07" wp14:editId="0206565C">
                <wp:extent cx="5943600" cy="1647371"/>
                <wp:effectExtent l="0" t="0" r="19050" b="10160"/>
                <wp:docPr id="8" name="Rectangle 8"/>
                <wp:cNvGraphicFramePr/>
                <a:graphic xmlns:a="http://schemas.openxmlformats.org/drawingml/2006/main">
                  <a:graphicData uri="http://schemas.microsoft.com/office/word/2010/wordprocessingShape">
                    <wps:wsp>
                      <wps:cNvSpPr/>
                      <wps:spPr>
                        <a:xfrm>
                          <a:off x="0" y="0"/>
                          <a:ext cx="5943600" cy="1647371"/>
                        </a:xfrm>
                        <a:prstGeom prst="rect">
                          <a:avLst/>
                        </a:prstGeom>
                        <a:noFill/>
                        <a:ln>
                          <a:solidFill>
                            <a:schemeClr val="bg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2FC84D62" w14:textId="520B48C8" w:rsidR="009C01EA" w:rsidRPr="00260A7E" w:rsidRDefault="009C01EA" w:rsidP="000677A0">
                            <w:pPr>
                              <w:pStyle w:val="Heading2"/>
                              <w:pBdr>
                                <w:bottom w:val="single" w:sz="18" w:space="1" w:color="92278F" w:themeColor="accent1"/>
                              </w:pBdr>
                            </w:pPr>
                            <w:r w:rsidRPr="00260A7E">
                              <w:t>RESOURCE:</w:t>
                            </w:r>
                            <w:r w:rsidR="000677A0" w:rsidRPr="00260A7E">
                              <w:t xml:space="preserve"> </w:t>
                            </w:r>
                            <w:r w:rsidRPr="00260A7E">
                              <w:t>The Rights of Transgender People in Washington State</w:t>
                            </w:r>
                          </w:p>
                          <w:p w14:paraId="324D625F" w14:textId="77777777" w:rsidR="009C01EA" w:rsidRPr="0021572A" w:rsidRDefault="009C01EA" w:rsidP="00A813D2">
                            <w:pPr>
                              <w:spacing w:after="0"/>
                              <w:rPr>
                                <w:sz w:val="24"/>
                                <w:szCs w:val="18"/>
                              </w:rPr>
                            </w:pPr>
                            <w:r w:rsidRPr="0021572A">
                              <w:rPr>
                                <w:sz w:val="24"/>
                                <w:szCs w:val="18"/>
                              </w:rPr>
                              <w:t>This guidebook is designed to help transgender individuals understand their legal rights in Washington State. It is not meant to provide legal advice.</w:t>
                            </w:r>
                          </w:p>
                          <w:p w14:paraId="2C43A959" w14:textId="77777777" w:rsidR="00260A7E" w:rsidRDefault="00260A7E" w:rsidP="00A813D2">
                            <w:pPr>
                              <w:spacing w:after="0"/>
                              <w:rPr>
                                <w:b/>
                                <w:sz w:val="24"/>
                                <w:szCs w:val="18"/>
                              </w:rPr>
                            </w:pPr>
                          </w:p>
                          <w:p w14:paraId="2B25F906" w14:textId="26E550A8" w:rsidR="009C01EA" w:rsidRPr="001C699E" w:rsidRDefault="009C01EA" w:rsidP="00A813D2">
                            <w:pPr>
                              <w:spacing w:after="0"/>
                              <w:rPr>
                                <w:b/>
                                <w:sz w:val="24"/>
                                <w:szCs w:val="18"/>
                              </w:rPr>
                            </w:pPr>
                            <w:r w:rsidRPr="00260A7E">
                              <w:rPr>
                                <w:color w:val="92278F" w:themeColor="accent1"/>
                                <w:sz w:val="24"/>
                                <w:szCs w:val="18"/>
                              </w:rPr>
                              <w:t xml:space="preserve">View Guide:  </w:t>
                            </w:r>
                            <w:hyperlink r:id="rId72" w:history="1">
                              <w:r w:rsidR="00CE50D7" w:rsidRPr="001C699E">
                                <w:rPr>
                                  <w:rStyle w:val="Hyperlink"/>
                                  <w:sz w:val="24"/>
                                </w:rPr>
                                <w:t>https://www.aclu-wa.org/docs/rights-transgender-people-washington-state</w:t>
                              </w:r>
                            </w:hyperlink>
                            <w:r w:rsidR="00CE50D7" w:rsidRPr="001C699E">
                              <w:rPr>
                                <w:sz w:val="24"/>
                              </w:rPr>
                              <w:t xml:space="preserve"> </w:t>
                            </w:r>
                          </w:p>
                          <w:p w14:paraId="0003D745" w14:textId="77777777" w:rsidR="00CE50D7" w:rsidRPr="001C699E" w:rsidRDefault="00CE50D7" w:rsidP="00A813D2">
                            <w:pPr>
                              <w:spacing w:after="0"/>
                              <w:rPr>
                                <w:b/>
                                <w:sz w:val="24"/>
                                <w:szCs w:val="18"/>
                              </w:rPr>
                            </w:pPr>
                          </w:p>
                          <w:p w14:paraId="6ACF3205" w14:textId="28D5B409" w:rsidR="009C01EA" w:rsidRPr="001C699E" w:rsidRDefault="009C01EA" w:rsidP="00260A7E">
                            <w:pPr>
                              <w:spacing w:after="0"/>
                              <w:jc w:val="right"/>
                              <w:rPr>
                                <w:sz w:val="24"/>
                                <w:szCs w:val="18"/>
                              </w:rPr>
                            </w:pPr>
                            <w:r w:rsidRPr="00260A7E">
                              <w:rPr>
                                <w:sz w:val="20"/>
                                <w:szCs w:val="18"/>
                              </w:rPr>
                              <w:t>Source: ACLU-WA.</w:t>
                            </w:r>
                            <w:r w:rsidR="00CE50D7" w:rsidRPr="00260A7E">
                              <w:rPr>
                                <w:sz w:val="20"/>
                                <w:szCs w:val="18"/>
                              </w:rPr>
                              <w:t xml:space="preserve"> Updated </w:t>
                            </w:r>
                            <w:r w:rsidR="00163FEC">
                              <w:rPr>
                                <w:sz w:val="20"/>
                                <w:szCs w:val="18"/>
                              </w:rPr>
                              <w:t>June 18,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50BD07" id="Rectangle 8" o:spid="_x0000_s1030" style="width:468pt;height:12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oW8nwIAAJQFAAAOAAAAZHJzL2Uyb0RvYy54bWysVN9P2zAQfp+0/8Hy+0hSCoWIFFUgpkkM&#10;EDDx7Dp2G83xebbbpvvrOdtJqBjSpGkvic93990Pf3cXl12ryFZY14CuaHGUUyI0h7rRq4r+eL75&#10;ckaJ80zXTIEWFd0LRy/nnz9d7EwpJrAGVQtLEES7cmcquvbelFnm+Fq0zB2BERqVEmzLPIp2ldWW&#10;7RC9Vdkkz0+zHdjaWODCOby9Tko6j/hSCu7vpXTCE1VRzM3Hr43fZfhm8wtWriwz64b3abB/yKJl&#10;jcagI9Q184xsbPMHVNtwCw6kP+LQZiBlw0WsAasp8nfVPK2ZEbEWbI4zY5vc/4Pld9sHS5q6ovhQ&#10;mrX4RI/YNKZXSpCz0J6dcSVaPZkH20sOj6HWTto2/LEK0sWW7seWis4Tjpcn59Pj0xw7z1FXnE5n&#10;x7MioGZv7sY6/1VAS8KhohbDx1ay7a3zyXQwCdE03DRK4T0rlQ5fB6qpw10UAnHElbJky/DJl6si&#10;YqlN+x3qdDc7yTGhBBx5FsxjRgdImF9Az0L1qd548nslUuRHIbFtWOEkBhiBUgzGudB+qFRptA5u&#10;ErMcHVNm7xzV6NTbBjcRiTw65n+POHrEqKD96Nw2GuxHAPXPIV2Z7IfqU82hfN8tu8iV6UCMJdR7&#10;5I+FNFjO8JsGX/GWOf/ALE4SvjxuB3+PH6lgV1HoT5Sswf7+6D7YI8FRS8kOJ7Oi7teGWUGJ+qaR&#10;+ufFdBpGOQrTk9kEBXuoWR5q9Ka9AmRCgXvI8HgM9l4NR2mhfcElsghRUcU0x9gV5d4OwpVPGwPX&#10;EBeLRTTD8TXM3+onwwN46HNg6XP3wqzpqexxCu5gmGJWvmN0sg2eGhYbD7KJdA+dTn3tXwBHP9Kz&#10;X1NhtxzK0eptmc5fAQAA//8DAFBLAwQUAAYACAAAACEAD79pkt4AAAAFAQAADwAAAGRycy9kb3du&#10;cmV2LnhtbEyPUU/CQBCE3038D5c18cXIVRBCa69ETAzGQATkBxy9tW2822t6B9R/7+KLvEwymc3M&#10;t/msd1YcsQuNJwUPgwQEUulNQ5WC3efr/RREiJqMtp5QwQ8GmBXXV7nOjD/RBo/bWAkuoZBpBXWM&#10;bSZlKGt0Ogx8i8TZl++cjmy7SppOn7jcWTlMkol0uiFeqHWLLzWW39uDU5DexdXqo1na3Xxt5m+p&#10;Ha3fxwulbm/65ycQEfv4fwxnfEaHgpn2/kAmCKuAH4l/ylk6mrDdKxiO00eQRS4v6YtfAAAA//8D&#10;AFBLAQItABQABgAIAAAAIQC2gziS/gAAAOEBAAATAAAAAAAAAAAAAAAAAAAAAABbQ29udGVudF9U&#10;eXBlc10ueG1sUEsBAi0AFAAGAAgAAAAhADj9If/WAAAAlAEAAAsAAAAAAAAAAAAAAAAALwEAAF9y&#10;ZWxzLy5yZWxzUEsBAi0AFAAGAAgAAAAhADuKhbyfAgAAlAUAAA4AAAAAAAAAAAAAAAAALgIAAGRy&#10;cy9lMm9Eb2MueG1sUEsBAi0AFAAGAAgAAAAhAA+/aZLeAAAABQEAAA8AAAAAAAAAAAAAAAAA+QQA&#10;AGRycy9kb3ducmV2LnhtbFBLBQYAAAAABAAEAPMAAAAEBgAAAAA=&#10;" filled="f" strokecolor="#bfbfbf [2412]" strokeweight="2pt">
                <v:textbox>
                  <w:txbxContent>
                    <w:p w14:paraId="2FC84D62" w14:textId="520B48C8" w:rsidR="009C01EA" w:rsidRPr="00260A7E" w:rsidRDefault="009C01EA" w:rsidP="000677A0">
                      <w:pPr>
                        <w:pStyle w:val="Heading2"/>
                        <w:pBdr>
                          <w:bottom w:val="single" w:sz="18" w:space="1" w:color="92278F" w:themeColor="accent1"/>
                        </w:pBdr>
                      </w:pPr>
                      <w:r w:rsidRPr="00260A7E">
                        <w:t>RESOURCE:</w:t>
                      </w:r>
                      <w:r w:rsidR="000677A0" w:rsidRPr="00260A7E">
                        <w:t xml:space="preserve"> </w:t>
                      </w:r>
                      <w:r w:rsidRPr="00260A7E">
                        <w:t>The Rights of Transgender People in Washington State</w:t>
                      </w:r>
                    </w:p>
                    <w:p w14:paraId="324D625F" w14:textId="77777777" w:rsidR="009C01EA" w:rsidRPr="0021572A" w:rsidRDefault="009C01EA" w:rsidP="00A813D2">
                      <w:pPr>
                        <w:spacing w:after="0"/>
                        <w:rPr>
                          <w:sz w:val="24"/>
                          <w:szCs w:val="18"/>
                        </w:rPr>
                      </w:pPr>
                      <w:r w:rsidRPr="0021572A">
                        <w:rPr>
                          <w:sz w:val="24"/>
                          <w:szCs w:val="18"/>
                        </w:rPr>
                        <w:t>This guidebook is designed to help transgender individuals understand their legal rights in Washington State. It is not meant to provide legal advice.</w:t>
                      </w:r>
                    </w:p>
                    <w:p w14:paraId="2C43A959" w14:textId="77777777" w:rsidR="00260A7E" w:rsidRDefault="00260A7E" w:rsidP="00A813D2">
                      <w:pPr>
                        <w:spacing w:after="0"/>
                        <w:rPr>
                          <w:b/>
                          <w:sz w:val="24"/>
                          <w:szCs w:val="18"/>
                        </w:rPr>
                      </w:pPr>
                    </w:p>
                    <w:p w14:paraId="2B25F906" w14:textId="26E550A8" w:rsidR="009C01EA" w:rsidRPr="001C699E" w:rsidRDefault="009C01EA" w:rsidP="00A813D2">
                      <w:pPr>
                        <w:spacing w:after="0"/>
                        <w:rPr>
                          <w:b/>
                          <w:sz w:val="24"/>
                          <w:szCs w:val="18"/>
                        </w:rPr>
                      </w:pPr>
                      <w:r w:rsidRPr="00260A7E">
                        <w:rPr>
                          <w:color w:val="92278F" w:themeColor="accent1"/>
                          <w:sz w:val="24"/>
                          <w:szCs w:val="18"/>
                        </w:rPr>
                        <w:t xml:space="preserve">View Guide:  </w:t>
                      </w:r>
                      <w:hyperlink r:id="rId73" w:history="1">
                        <w:r w:rsidR="00CE50D7" w:rsidRPr="001C699E">
                          <w:rPr>
                            <w:rStyle w:val="Hyperlink"/>
                            <w:sz w:val="24"/>
                          </w:rPr>
                          <w:t>https://www.aclu-wa.org/docs</w:t>
                        </w:r>
                        <w:r w:rsidR="00CE50D7" w:rsidRPr="001C699E">
                          <w:rPr>
                            <w:rStyle w:val="Hyperlink"/>
                            <w:sz w:val="24"/>
                          </w:rPr>
                          <w:t>/</w:t>
                        </w:r>
                        <w:r w:rsidR="00CE50D7" w:rsidRPr="001C699E">
                          <w:rPr>
                            <w:rStyle w:val="Hyperlink"/>
                            <w:sz w:val="24"/>
                          </w:rPr>
                          <w:t>rights-trans</w:t>
                        </w:r>
                        <w:r w:rsidR="00CE50D7" w:rsidRPr="001C699E">
                          <w:rPr>
                            <w:rStyle w:val="Hyperlink"/>
                            <w:sz w:val="24"/>
                          </w:rPr>
                          <w:t>g</w:t>
                        </w:r>
                        <w:r w:rsidR="00CE50D7" w:rsidRPr="001C699E">
                          <w:rPr>
                            <w:rStyle w:val="Hyperlink"/>
                            <w:sz w:val="24"/>
                          </w:rPr>
                          <w:t>ender-people-washington-state</w:t>
                        </w:r>
                      </w:hyperlink>
                      <w:r w:rsidR="00CE50D7" w:rsidRPr="001C699E">
                        <w:rPr>
                          <w:sz w:val="24"/>
                        </w:rPr>
                        <w:t xml:space="preserve"> </w:t>
                      </w:r>
                    </w:p>
                    <w:p w14:paraId="0003D745" w14:textId="77777777" w:rsidR="00CE50D7" w:rsidRPr="001C699E" w:rsidRDefault="00CE50D7" w:rsidP="00A813D2">
                      <w:pPr>
                        <w:spacing w:after="0"/>
                        <w:rPr>
                          <w:b/>
                          <w:sz w:val="24"/>
                          <w:szCs w:val="18"/>
                        </w:rPr>
                      </w:pPr>
                    </w:p>
                    <w:p w14:paraId="6ACF3205" w14:textId="28D5B409" w:rsidR="009C01EA" w:rsidRPr="001C699E" w:rsidRDefault="009C01EA" w:rsidP="00260A7E">
                      <w:pPr>
                        <w:spacing w:after="0"/>
                        <w:jc w:val="right"/>
                        <w:rPr>
                          <w:sz w:val="24"/>
                          <w:szCs w:val="18"/>
                        </w:rPr>
                      </w:pPr>
                      <w:r w:rsidRPr="00260A7E">
                        <w:rPr>
                          <w:sz w:val="20"/>
                          <w:szCs w:val="18"/>
                        </w:rPr>
                        <w:t>Source: ACLU-WA.</w:t>
                      </w:r>
                      <w:r w:rsidR="00CE50D7" w:rsidRPr="00260A7E">
                        <w:rPr>
                          <w:sz w:val="20"/>
                          <w:szCs w:val="18"/>
                        </w:rPr>
                        <w:t xml:space="preserve"> Updated </w:t>
                      </w:r>
                      <w:r w:rsidR="00163FEC">
                        <w:rPr>
                          <w:sz w:val="20"/>
                          <w:szCs w:val="18"/>
                        </w:rPr>
                        <w:t>June 18, 2019.</w:t>
                      </w:r>
                    </w:p>
                  </w:txbxContent>
                </v:textbox>
                <w10:anchorlock/>
              </v:rect>
            </w:pict>
          </mc:Fallback>
        </mc:AlternateContent>
      </w:r>
    </w:p>
    <w:p w14:paraId="20C33816" w14:textId="77777777" w:rsidR="00A813D2" w:rsidRPr="00704FC6" w:rsidRDefault="00A813D2" w:rsidP="004E5FBC">
      <w:pPr>
        <w:spacing w:after="0" w:line="240" w:lineRule="auto"/>
        <w:rPr>
          <w:rFonts w:ascii="Tw Cen MT" w:eastAsia="Times New Roman" w:hAnsi="Tw Cen MT" w:cs="Times New Roman"/>
          <w:b/>
          <w:bCs/>
          <w:sz w:val="20"/>
          <w:szCs w:val="20"/>
        </w:rPr>
      </w:pPr>
    </w:p>
    <w:p w14:paraId="7C4B62EE" w14:textId="77777777" w:rsidR="00FA5CC4" w:rsidRPr="00704FC6" w:rsidRDefault="00FA5CC4" w:rsidP="004E5FBC">
      <w:pPr>
        <w:pStyle w:val="Heading2"/>
        <w:rPr>
          <w:rFonts w:ascii="Tw Cen MT" w:eastAsia="Times New Roman" w:hAnsi="Tw Cen MT"/>
        </w:rPr>
      </w:pPr>
      <w:bookmarkStart w:id="39" w:name="_Toc451857749"/>
      <w:r w:rsidRPr="00704FC6">
        <w:rPr>
          <w:rFonts w:ascii="Tw Cen MT" w:eastAsia="Times New Roman" w:hAnsi="Tw Cen MT"/>
        </w:rPr>
        <w:t xml:space="preserve">Q: Can a religious institution discriminate against </w:t>
      </w:r>
      <w:r w:rsidR="000A1236" w:rsidRPr="00704FC6">
        <w:rPr>
          <w:rFonts w:ascii="Tw Cen MT" w:eastAsia="Times New Roman" w:hAnsi="Tw Cen MT"/>
        </w:rPr>
        <w:t>a</w:t>
      </w:r>
      <w:r w:rsidRPr="00704FC6">
        <w:rPr>
          <w:rFonts w:ascii="Tw Cen MT" w:eastAsia="Times New Roman" w:hAnsi="Tw Cen MT"/>
        </w:rPr>
        <w:t xml:space="preserve"> transgender</w:t>
      </w:r>
      <w:r w:rsidR="000A1236" w:rsidRPr="00704FC6">
        <w:rPr>
          <w:rFonts w:ascii="Tw Cen MT" w:eastAsia="Times New Roman" w:hAnsi="Tw Cen MT"/>
        </w:rPr>
        <w:t xml:space="preserve"> student</w:t>
      </w:r>
      <w:r w:rsidRPr="00704FC6">
        <w:rPr>
          <w:rFonts w:ascii="Tw Cen MT" w:eastAsia="Times New Roman" w:hAnsi="Tw Cen MT"/>
        </w:rPr>
        <w:t>?</w:t>
      </w:r>
      <w:bookmarkEnd w:id="39"/>
    </w:p>
    <w:p w14:paraId="731F347A" w14:textId="03B26028" w:rsidR="00FA5CC4" w:rsidRPr="0021572A" w:rsidRDefault="00FA5CC4" w:rsidP="004E5FBC">
      <w:pPr>
        <w:spacing w:after="100" w:afterAutospacing="1" w:line="240" w:lineRule="auto"/>
        <w:rPr>
          <w:rFonts w:ascii="Tw Cen MT" w:eastAsia="Times New Roman" w:hAnsi="Tw Cen MT" w:cs="Times New Roman"/>
          <w:sz w:val="24"/>
          <w:szCs w:val="20"/>
        </w:rPr>
      </w:pPr>
      <w:r w:rsidRPr="0021572A">
        <w:rPr>
          <w:rFonts w:ascii="Tw Cen MT" w:eastAsia="Times New Roman" w:hAnsi="Tw Cen MT" w:cs="Times New Roman"/>
          <w:sz w:val="24"/>
          <w:szCs w:val="20"/>
        </w:rPr>
        <w:t xml:space="preserve">A: Educational institutions that receive federal funding are prohibited by Title IX from discriminating </w:t>
      </w:r>
      <w:proofErr w:type="gramStart"/>
      <w:r w:rsidRPr="0021572A">
        <w:rPr>
          <w:rFonts w:ascii="Tw Cen MT" w:eastAsia="Times New Roman" w:hAnsi="Tw Cen MT" w:cs="Times New Roman"/>
          <w:sz w:val="24"/>
          <w:szCs w:val="20"/>
        </w:rPr>
        <w:t>on the basis of</w:t>
      </w:r>
      <w:proofErr w:type="gramEnd"/>
      <w:r w:rsidRPr="0021572A">
        <w:rPr>
          <w:rFonts w:ascii="Tw Cen MT" w:eastAsia="Times New Roman" w:hAnsi="Tw Cen MT" w:cs="Times New Roman"/>
          <w:sz w:val="24"/>
          <w:szCs w:val="20"/>
        </w:rPr>
        <w:t xml:space="preserve"> sex, which includes gender identity. The law does</w:t>
      </w:r>
      <w:r w:rsidR="008F7908" w:rsidRPr="0021572A">
        <w:rPr>
          <w:rFonts w:ascii="Tw Cen MT" w:eastAsia="Times New Roman" w:hAnsi="Tw Cen MT" w:cs="Times New Roman"/>
          <w:sz w:val="24"/>
          <w:szCs w:val="20"/>
        </w:rPr>
        <w:t xml:space="preserve"> allow</w:t>
      </w:r>
      <w:r w:rsidR="002C762B" w:rsidRPr="0021572A">
        <w:rPr>
          <w:rFonts w:ascii="Tw Cen MT" w:eastAsia="Times New Roman" w:hAnsi="Tw Cen MT" w:cs="Times New Roman"/>
          <w:sz w:val="24"/>
          <w:szCs w:val="20"/>
        </w:rPr>
        <w:t xml:space="preserve"> </w:t>
      </w:r>
      <w:r w:rsidRPr="0021572A">
        <w:rPr>
          <w:rFonts w:ascii="Tw Cen MT" w:eastAsia="Times New Roman" w:hAnsi="Tw Cen MT" w:cs="Times New Roman"/>
          <w:sz w:val="24"/>
          <w:szCs w:val="20"/>
        </w:rPr>
        <w:t>religious-based schools to claim exemption. In 2014, the ED granted such exemptions to three colleges: George Fox University in Oregon, Spring Arbor University in Michigan and Simpson University in California.</w:t>
      </w:r>
    </w:p>
    <w:p w14:paraId="0F2D1B71" w14:textId="77777777" w:rsidR="00FA5CC4" w:rsidRPr="00704FC6" w:rsidRDefault="00FA5CC4" w:rsidP="004E5FBC">
      <w:pPr>
        <w:pStyle w:val="Heading2"/>
        <w:rPr>
          <w:rFonts w:ascii="Tw Cen MT" w:eastAsia="Times New Roman" w:hAnsi="Tw Cen MT"/>
        </w:rPr>
      </w:pPr>
      <w:bookmarkStart w:id="40" w:name="4"/>
      <w:bookmarkStart w:id="41" w:name="_Toc451857750"/>
      <w:bookmarkEnd w:id="40"/>
      <w:r w:rsidRPr="00704FC6">
        <w:rPr>
          <w:rFonts w:ascii="Tw Cen MT" w:eastAsia="Times New Roman" w:hAnsi="Tw Cen MT"/>
        </w:rPr>
        <w:t xml:space="preserve">Q: Can a single-sex college reject </w:t>
      </w:r>
      <w:r w:rsidR="000A1236" w:rsidRPr="00704FC6">
        <w:rPr>
          <w:rFonts w:ascii="Tw Cen MT" w:eastAsia="Times New Roman" w:hAnsi="Tw Cen MT"/>
        </w:rPr>
        <w:t>an</w:t>
      </w:r>
      <w:r w:rsidRPr="00704FC6">
        <w:rPr>
          <w:rFonts w:ascii="Tw Cen MT" w:eastAsia="Times New Roman" w:hAnsi="Tw Cen MT"/>
        </w:rPr>
        <w:t xml:space="preserve"> application based on the fact </w:t>
      </w:r>
      <w:r w:rsidR="000A1236" w:rsidRPr="00704FC6">
        <w:rPr>
          <w:rFonts w:ascii="Tw Cen MT" w:eastAsia="Times New Roman" w:hAnsi="Tw Cen MT"/>
        </w:rPr>
        <w:t>a student is</w:t>
      </w:r>
      <w:r w:rsidRPr="00704FC6">
        <w:rPr>
          <w:rFonts w:ascii="Tw Cen MT" w:eastAsia="Times New Roman" w:hAnsi="Tw Cen MT"/>
        </w:rPr>
        <w:t xml:space="preserve"> transgender?</w:t>
      </w:r>
      <w:bookmarkEnd w:id="41"/>
    </w:p>
    <w:p w14:paraId="50827FE9" w14:textId="77777777" w:rsidR="00FA5CC4" w:rsidRPr="0021572A" w:rsidRDefault="00FA5CC4" w:rsidP="004E5FBC">
      <w:pPr>
        <w:spacing w:after="100" w:afterAutospacing="1" w:line="240" w:lineRule="auto"/>
        <w:rPr>
          <w:rFonts w:ascii="Tw Cen MT" w:eastAsia="Times New Roman" w:hAnsi="Tw Cen MT" w:cs="Times New Roman"/>
          <w:sz w:val="24"/>
          <w:szCs w:val="20"/>
        </w:rPr>
      </w:pPr>
      <w:r w:rsidRPr="0021572A">
        <w:rPr>
          <w:rFonts w:ascii="Tw Cen MT" w:eastAsia="Times New Roman" w:hAnsi="Tw Cen MT" w:cs="Times New Roman"/>
          <w:sz w:val="24"/>
          <w:szCs w:val="20"/>
        </w:rPr>
        <w:t xml:space="preserve">A: Title IX allows certain kinds of educational institutions to admit students of only one “sex,” including all-women’s colleges. In December 2014, the ED issued its third official guidance on this issue, this time affirming that “All students, including transgender students and students who do not conform to sex stereotypes, are protected from sex-based discrimination under Title IX. Under </w:t>
      </w:r>
      <w:r w:rsidRPr="0021572A">
        <w:rPr>
          <w:rFonts w:ascii="Tw Cen MT" w:eastAsia="Times New Roman" w:hAnsi="Tw Cen MT" w:cs="Times New Roman"/>
          <w:sz w:val="24"/>
          <w:szCs w:val="20"/>
        </w:rPr>
        <w:lastRenderedPageBreak/>
        <w:t>Title IX, a recipient generally must treat transgender students consistent with their gender identity in all aspects of the planning, implementation, enrollment, operation, and evaluation of single-sex classes.” This applies to single</w:t>
      </w:r>
      <w:r w:rsidR="000A1236" w:rsidRPr="0021572A">
        <w:rPr>
          <w:rFonts w:ascii="Tw Cen MT" w:eastAsia="Times New Roman" w:hAnsi="Tw Cen MT" w:cs="Times New Roman"/>
          <w:sz w:val="24"/>
          <w:szCs w:val="20"/>
        </w:rPr>
        <w:t>-</w:t>
      </w:r>
      <w:r w:rsidRPr="0021572A">
        <w:rPr>
          <w:rFonts w:ascii="Tw Cen MT" w:eastAsia="Times New Roman" w:hAnsi="Tw Cen MT" w:cs="Times New Roman"/>
          <w:sz w:val="24"/>
          <w:szCs w:val="20"/>
        </w:rPr>
        <w:t xml:space="preserve">sex institutions, as well. </w:t>
      </w:r>
    </w:p>
    <w:p w14:paraId="397200E3" w14:textId="77777777" w:rsidR="00FA5CC4" w:rsidRPr="00704FC6" w:rsidRDefault="00FA5CC4" w:rsidP="004E5FBC">
      <w:pPr>
        <w:pStyle w:val="Heading2"/>
        <w:rPr>
          <w:rFonts w:ascii="Tw Cen MT" w:eastAsia="Times New Roman" w:hAnsi="Tw Cen MT"/>
        </w:rPr>
      </w:pPr>
      <w:bookmarkStart w:id="42" w:name="5"/>
      <w:bookmarkStart w:id="43" w:name="_Toc451857751"/>
      <w:bookmarkEnd w:id="42"/>
      <w:r w:rsidRPr="00704FC6">
        <w:rPr>
          <w:rFonts w:ascii="Tw Cen MT" w:eastAsia="Times New Roman" w:hAnsi="Tw Cen MT"/>
        </w:rPr>
        <w:t xml:space="preserve">Q: </w:t>
      </w:r>
      <w:r w:rsidR="000A1236" w:rsidRPr="00704FC6">
        <w:rPr>
          <w:rFonts w:ascii="Tw Cen MT" w:eastAsia="Times New Roman" w:hAnsi="Tw Cen MT"/>
        </w:rPr>
        <w:t>Do transgender students</w:t>
      </w:r>
      <w:r w:rsidRPr="00704FC6">
        <w:rPr>
          <w:rFonts w:ascii="Tw Cen MT" w:eastAsia="Times New Roman" w:hAnsi="Tw Cen MT"/>
        </w:rPr>
        <w:t xml:space="preserve"> have the right to be placed in campus housing according to </w:t>
      </w:r>
      <w:r w:rsidR="000A1236" w:rsidRPr="00704FC6">
        <w:rPr>
          <w:rFonts w:ascii="Tw Cen MT" w:eastAsia="Times New Roman" w:hAnsi="Tw Cen MT"/>
        </w:rPr>
        <w:t>their</w:t>
      </w:r>
      <w:r w:rsidRPr="00704FC6">
        <w:rPr>
          <w:rFonts w:ascii="Tw Cen MT" w:eastAsia="Times New Roman" w:hAnsi="Tw Cen MT"/>
        </w:rPr>
        <w:t xml:space="preserve"> gender identity?</w:t>
      </w:r>
      <w:bookmarkEnd w:id="43"/>
    </w:p>
    <w:p w14:paraId="6598C5E0" w14:textId="77713E3D" w:rsidR="00FA5CC4" w:rsidRPr="004E5FBC" w:rsidRDefault="00FA5CC4" w:rsidP="004E5FBC">
      <w:pPr>
        <w:spacing w:after="100" w:afterAutospacing="1" w:line="240" w:lineRule="auto"/>
        <w:rPr>
          <w:rFonts w:ascii="Tw Cen MT" w:eastAsia="Times New Roman" w:hAnsi="Tw Cen MT" w:cs="Times New Roman"/>
          <w:sz w:val="24"/>
          <w:szCs w:val="24"/>
        </w:rPr>
      </w:pPr>
      <w:r w:rsidRPr="004E5FBC">
        <w:rPr>
          <w:rFonts w:ascii="Tw Cen MT" w:eastAsia="Times New Roman" w:hAnsi="Tw Cen MT" w:cs="Times New Roman"/>
          <w:sz w:val="24"/>
          <w:szCs w:val="24"/>
        </w:rPr>
        <w:t xml:space="preserve">A: Yes, </w:t>
      </w:r>
      <w:r w:rsidR="000A1236" w:rsidRPr="004E5FBC">
        <w:rPr>
          <w:rFonts w:ascii="Tw Cen MT" w:eastAsia="Times New Roman" w:hAnsi="Tw Cen MT" w:cs="Times New Roman"/>
          <w:sz w:val="24"/>
          <w:szCs w:val="24"/>
        </w:rPr>
        <w:t>trans students</w:t>
      </w:r>
      <w:r w:rsidRPr="004E5FBC">
        <w:rPr>
          <w:rFonts w:ascii="Tw Cen MT" w:eastAsia="Times New Roman" w:hAnsi="Tw Cen MT" w:cs="Times New Roman"/>
          <w:sz w:val="24"/>
          <w:szCs w:val="24"/>
        </w:rPr>
        <w:t xml:space="preserve"> have that right </w:t>
      </w:r>
      <w:proofErr w:type="gramStart"/>
      <w:r w:rsidRPr="004E5FBC">
        <w:rPr>
          <w:rFonts w:ascii="Tw Cen MT" w:eastAsia="Times New Roman" w:hAnsi="Tw Cen MT" w:cs="Times New Roman"/>
          <w:sz w:val="24"/>
          <w:szCs w:val="24"/>
        </w:rPr>
        <w:t>as long as</w:t>
      </w:r>
      <w:proofErr w:type="gramEnd"/>
      <w:r w:rsidRPr="004E5FBC">
        <w:rPr>
          <w:rFonts w:ascii="Tw Cen MT" w:eastAsia="Times New Roman" w:hAnsi="Tw Cen MT" w:cs="Times New Roman"/>
          <w:sz w:val="24"/>
          <w:szCs w:val="24"/>
        </w:rPr>
        <w:t xml:space="preserve"> </w:t>
      </w:r>
      <w:r w:rsidR="000A1236" w:rsidRPr="004E5FBC">
        <w:rPr>
          <w:rFonts w:ascii="Tw Cen MT" w:eastAsia="Times New Roman" w:hAnsi="Tw Cen MT" w:cs="Times New Roman"/>
          <w:sz w:val="24"/>
          <w:szCs w:val="24"/>
        </w:rPr>
        <w:t>their</w:t>
      </w:r>
      <w:r w:rsidRPr="004E5FBC">
        <w:rPr>
          <w:rFonts w:ascii="Tw Cen MT" w:eastAsia="Times New Roman" w:hAnsi="Tw Cen MT" w:cs="Times New Roman"/>
          <w:sz w:val="24"/>
          <w:szCs w:val="24"/>
        </w:rPr>
        <w:t xml:space="preserve"> college or university is subject to Title IX and hasn’t specifically exempted itself from this requirement. </w:t>
      </w:r>
      <w:r w:rsidR="000A1236" w:rsidRPr="004E5FBC">
        <w:rPr>
          <w:rFonts w:ascii="Tw Cen MT" w:eastAsia="Times New Roman" w:hAnsi="Tw Cen MT" w:cs="Times New Roman"/>
          <w:sz w:val="24"/>
          <w:szCs w:val="24"/>
        </w:rPr>
        <w:t>I</w:t>
      </w:r>
      <w:r w:rsidRPr="004E5FBC">
        <w:rPr>
          <w:rFonts w:ascii="Tw Cen MT" w:eastAsia="Times New Roman" w:hAnsi="Tw Cen MT" w:cs="Times New Roman"/>
          <w:sz w:val="24"/>
          <w:szCs w:val="24"/>
        </w:rPr>
        <w:t xml:space="preserve">nstitutions frequently use the gender marker on the application to inform campus records and practices. </w:t>
      </w:r>
      <w:r w:rsidR="000A1236" w:rsidRPr="004E5FBC">
        <w:rPr>
          <w:rFonts w:ascii="Tw Cen MT" w:eastAsia="Times New Roman" w:hAnsi="Tw Cen MT" w:cs="Times New Roman"/>
          <w:sz w:val="24"/>
          <w:szCs w:val="24"/>
        </w:rPr>
        <w:t>Encourage students to f</w:t>
      </w:r>
      <w:r w:rsidRPr="004E5FBC">
        <w:rPr>
          <w:rFonts w:ascii="Tw Cen MT" w:eastAsia="Times New Roman" w:hAnsi="Tw Cen MT" w:cs="Times New Roman"/>
          <w:sz w:val="24"/>
          <w:szCs w:val="24"/>
        </w:rPr>
        <w:t xml:space="preserve">ind out if </w:t>
      </w:r>
      <w:r w:rsidR="000A1236" w:rsidRPr="004E5FBC">
        <w:rPr>
          <w:rFonts w:ascii="Tw Cen MT" w:eastAsia="Times New Roman" w:hAnsi="Tw Cen MT" w:cs="Times New Roman"/>
          <w:sz w:val="24"/>
          <w:szCs w:val="24"/>
        </w:rPr>
        <w:t>their prospective</w:t>
      </w:r>
      <w:r w:rsidRPr="004E5FBC">
        <w:rPr>
          <w:rFonts w:ascii="Tw Cen MT" w:eastAsia="Times New Roman" w:hAnsi="Tw Cen MT" w:cs="Times New Roman"/>
          <w:sz w:val="24"/>
          <w:szCs w:val="24"/>
        </w:rPr>
        <w:t xml:space="preserve"> college or university offers gender-inclusive housing as an option; this is particularly important for </w:t>
      </w:r>
      <w:r w:rsidR="00E22819">
        <w:rPr>
          <w:rFonts w:ascii="Tw Cen MT" w:eastAsia="Times New Roman" w:hAnsi="Tw Cen MT" w:cs="Times New Roman"/>
          <w:sz w:val="24"/>
          <w:szCs w:val="24"/>
        </w:rPr>
        <w:t xml:space="preserve">non-binary or </w:t>
      </w:r>
      <w:r w:rsidRPr="004E5FBC">
        <w:rPr>
          <w:rFonts w:ascii="Tw Cen MT" w:eastAsia="Times New Roman" w:hAnsi="Tw Cen MT" w:cs="Times New Roman"/>
          <w:sz w:val="24"/>
          <w:szCs w:val="24"/>
        </w:rPr>
        <w:t xml:space="preserve">gender-nonconforming (GNC) students. </w:t>
      </w:r>
    </w:p>
    <w:p w14:paraId="30EC122B" w14:textId="77777777" w:rsidR="00FA5CC4" w:rsidRPr="00704FC6" w:rsidRDefault="00FA5CC4" w:rsidP="004E5FBC">
      <w:pPr>
        <w:pStyle w:val="Heading2"/>
        <w:rPr>
          <w:rFonts w:ascii="Tw Cen MT" w:eastAsia="Times New Roman" w:hAnsi="Tw Cen MT"/>
        </w:rPr>
      </w:pPr>
      <w:bookmarkStart w:id="44" w:name="6"/>
      <w:bookmarkStart w:id="45" w:name="_Toc451857752"/>
      <w:bookmarkEnd w:id="44"/>
      <w:r w:rsidRPr="00704FC6">
        <w:rPr>
          <w:rFonts w:ascii="Tw Cen MT" w:eastAsia="Times New Roman" w:hAnsi="Tw Cen MT"/>
        </w:rPr>
        <w:t xml:space="preserve">Q: </w:t>
      </w:r>
      <w:r w:rsidR="000A1236" w:rsidRPr="00704FC6">
        <w:rPr>
          <w:rFonts w:ascii="Tw Cen MT" w:eastAsia="Times New Roman" w:hAnsi="Tw Cen MT"/>
        </w:rPr>
        <w:t xml:space="preserve">Do transgender students </w:t>
      </w:r>
      <w:r w:rsidRPr="00704FC6">
        <w:rPr>
          <w:rFonts w:ascii="Tw Cen MT" w:eastAsia="Times New Roman" w:hAnsi="Tw Cen MT"/>
        </w:rPr>
        <w:t xml:space="preserve">have the right to use restrooms and locker rooms on campus in accordance with </w:t>
      </w:r>
      <w:r w:rsidR="000A1236" w:rsidRPr="00704FC6">
        <w:rPr>
          <w:rFonts w:ascii="Tw Cen MT" w:eastAsia="Times New Roman" w:hAnsi="Tw Cen MT"/>
        </w:rPr>
        <w:t>their</w:t>
      </w:r>
      <w:r w:rsidRPr="00704FC6">
        <w:rPr>
          <w:rFonts w:ascii="Tw Cen MT" w:eastAsia="Times New Roman" w:hAnsi="Tw Cen MT"/>
        </w:rPr>
        <w:t xml:space="preserve"> gender identity?</w:t>
      </w:r>
      <w:bookmarkEnd w:id="45"/>
    </w:p>
    <w:p w14:paraId="6B81D5C2" w14:textId="1FC4CAB5" w:rsidR="00FA5CC4" w:rsidRPr="0021572A" w:rsidRDefault="00FA5CC4" w:rsidP="004E5FBC">
      <w:pPr>
        <w:spacing w:after="100" w:afterAutospacing="1" w:line="240" w:lineRule="auto"/>
        <w:rPr>
          <w:rFonts w:ascii="Tw Cen MT" w:eastAsia="Times New Roman" w:hAnsi="Tw Cen MT" w:cs="Times New Roman"/>
          <w:sz w:val="24"/>
          <w:szCs w:val="20"/>
        </w:rPr>
      </w:pPr>
      <w:r w:rsidRPr="0021572A">
        <w:rPr>
          <w:rFonts w:ascii="Tw Cen MT" w:eastAsia="Times New Roman" w:hAnsi="Tw Cen MT" w:cs="Times New Roman"/>
          <w:sz w:val="24"/>
          <w:szCs w:val="20"/>
        </w:rPr>
        <w:t xml:space="preserve">A: Yes, restroom and locker-room rights are much like housing rights: </w:t>
      </w:r>
      <w:r w:rsidR="000A1236" w:rsidRPr="0021572A">
        <w:rPr>
          <w:rFonts w:ascii="Tw Cen MT" w:eastAsia="Times New Roman" w:hAnsi="Tw Cen MT" w:cs="Times New Roman"/>
          <w:sz w:val="24"/>
          <w:szCs w:val="20"/>
        </w:rPr>
        <w:t>Students are protected if their</w:t>
      </w:r>
      <w:r w:rsidRPr="0021572A">
        <w:rPr>
          <w:rFonts w:ascii="Tw Cen MT" w:eastAsia="Times New Roman" w:hAnsi="Tw Cen MT" w:cs="Times New Roman"/>
          <w:sz w:val="24"/>
          <w:szCs w:val="20"/>
        </w:rPr>
        <w:t xml:space="preserve"> college or university is subject to Title IX and hasn’t specifically exempted itself. </w:t>
      </w:r>
      <w:r w:rsidR="000A1236" w:rsidRPr="0021572A">
        <w:rPr>
          <w:rFonts w:ascii="Tw Cen MT" w:eastAsia="Times New Roman" w:hAnsi="Tw Cen MT" w:cs="Times New Roman"/>
          <w:sz w:val="24"/>
          <w:szCs w:val="20"/>
        </w:rPr>
        <w:t>Students</w:t>
      </w:r>
      <w:r w:rsidRPr="0021572A">
        <w:rPr>
          <w:rFonts w:ascii="Tw Cen MT" w:eastAsia="Times New Roman" w:hAnsi="Tw Cen MT" w:cs="Times New Roman"/>
          <w:sz w:val="24"/>
          <w:szCs w:val="20"/>
        </w:rPr>
        <w:t xml:space="preserve"> might also be protected under state or local nondiscrimination laws. </w:t>
      </w:r>
      <w:r w:rsidR="000A1236" w:rsidRPr="0021572A">
        <w:rPr>
          <w:rFonts w:ascii="Tw Cen MT" w:eastAsia="Times New Roman" w:hAnsi="Tw Cen MT" w:cs="Times New Roman"/>
          <w:sz w:val="24"/>
          <w:szCs w:val="20"/>
        </w:rPr>
        <w:t>Have students f</w:t>
      </w:r>
      <w:r w:rsidRPr="0021572A">
        <w:rPr>
          <w:rFonts w:ascii="Tw Cen MT" w:eastAsia="Times New Roman" w:hAnsi="Tw Cen MT" w:cs="Times New Roman"/>
          <w:sz w:val="24"/>
          <w:szCs w:val="20"/>
        </w:rPr>
        <w:t xml:space="preserve">ind out if </w:t>
      </w:r>
      <w:r w:rsidR="000A1236" w:rsidRPr="0021572A">
        <w:rPr>
          <w:rFonts w:ascii="Tw Cen MT" w:eastAsia="Times New Roman" w:hAnsi="Tw Cen MT" w:cs="Times New Roman"/>
          <w:sz w:val="24"/>
          <w:szCs w:val="20"/>
        </w:rPr>
        <w:t xml:space="preserve">their prospective </w:t>
      </w:r>
      <w:r w:rsidRPr="0021572A">
        <w:rPr>
          <w:rFonts w:ascii="Tw Cen MT" w:eastAsia="Times New Roman" w:hAnsi="Tw Cen MT" w:cs="Times New Roman"/>
          <w:sz w:val="24"/>
          <w:szCs w:val="20"/>
        </w:rPr>
        <w:t>institution has gender-inclusive (not single-sex) restrooms; these can be particular</w:t>
      </w:r>
      <w:r w:rsidR="00223915" w:rsidRPr="0021572A">
        <w:rPr>
          <w:rFonts w:ascii="Tw Cen MT" w:eastAsia="Times New Roman" w:hAnsi="Tw Cen MT" w:cs="Times New Roman"/>
          <w:sz w:val="24"/>
          <w:szCs w:val="20"/>
        </w:rPr>
        <w:t xml:space="preserve">ly important for GNC students. </w:t>
      </w:r>
      <w:r w:rsidRPr="0021572A">
        <w:rPr>
          <w:rFonts w:ascii="Tw Cen MT" w:eastAsia="Times New Roman" w:hAnsi="Tw Cen MT" w:cs="Times New Roman"/>
          <w:sz w:val="24"/>
          <w:szCs w:val="20"/>
        </w:rPr>
        <w:t xml:space="preserve">For more information, see the </w:t>
      </w:r>
      <w:r w:rsidRPr="0021572A">
        <w:rPr>
          <w:rFonts w:ascii="Tw Cen MT" w:eastAsia="Times New Roman" w:hAnsi="Tw Cen MT" w:cs="Times New Roman"/>
          <w:b/>
          <w:sz w:val="24"/>
          <w:szCs w:val="20"/>
        </w:rPr>
        <w:t>Trans Policy Clearinghouse</w:t>
      </w:r>
      <w:r w:rsidR="00223915" w:rsidRPr="0021572A">
        <w:rPr>
          <w:rFonts w:ascii="Tw Cen MT" w:eastAsia="Times New Roman" w:hAnsi="Tw Cen MT" w:cs="Times New Roman"/>
          <w:sz w:val="24"/>
          <w:szCs w:val="20"/>
        </w:rPr>
        <w:t xml:space="preserve"> at</w:t>
      </w:r>
      <w:r w:rsidR="00223915" w:rsidRPr="0021572A">
        <w:rPr>
          <w:rFonts w:ascii="Tw Cen MT" w:hAnsi="Tw Cen MT"/>
          <w:sz w:val="24"/>
        </w:rPr>
        <w:t xml:space="preserve"> </w:t>
      </w:r>
      <w:hyperlink r:id="rId74" w:history="1">
        <w:r w:rsidR="00223915" w:rsidRPr="0021572A">
          <w:rPr>
            <w:rStyle w:val="Hyperlink"/>
            <w:rFonts w:ascii="Tw Cen MT" w:eastAsia="Times New Roman" w:hAnsi="Tw Cen MT" w:cs="Times New Roman"/>
            <w:sz w:val="24"/>
            <w:szCs w:val="20"/>
          </w:rPr>
          <w:t>www.campuspride.org/tpc/</w:t>
        </w:r>
      </w:hyperlink>
      <w:r w:rsidR="00223915" w:rsidRPr="0021572A">
        <w:rPr>
          <w:rFonts w:ascii="Tw Cen MT" w:eastAsia="Times New Roman" w:hAnsi="Tw Cen MT" w:cs="Times New Roman"/>
          <w:sz w:val="24"/>
          <w:szCs w:val="20"/>
        </w:rPr>
        <w:t xml:space="preserve">. </w:t>
      </w:r>
    </w:p>
    <w:p w14:paraId="6EF26105" w14:textId="77777777" w:rsidR="00FA5CC4" w:rsidRPr="00704FC6" w:rsidRDefault="00FA5CC4" w:rsidP="004E5FBC">
      <w:pPr>
        <w:pStyle w:val="Heading2"/>
        <w:rPr>
          <w:rFonts w:ascii="Tw Cen MT" w:eastAsia="Times New Roman" w:hAnsi="Tw Cen MT"/>
        </w:rPr>
      </w:pPr>
      <w:bookmarkStart w:id="46" w:name="7"/>
      <w:bookmarkStart w:id="47" w:name="_Toc451857753"/>
      <w:bookmarkEnd w:id="46"/>
      <w:r w:rsidRPr="00704FC6">
        <w:rPr>
          <w:rFonts w:ascii="Tw Cen MT" w:eastAsia="Times New Roman" w:hAnsi="Tw Cen MT"/>
        </w:rPr>
        <w:t xml:space="preserve">Q: What should </w:t>
      </w:r>
      <w:r w:rsidR="0010720D" w:rsidRPr="00704FC6">
        <w:rPr>
          <w:rFonts w:ascii="Tw Cen MT" w:eastAsia="Times New Roman" w:hAnsi="Tw Cen MT"/>
        </w:rPr>
        <w:t xml:space="preserve">college </w:t>
      </w:r>
      <w:r w:rsidR="000A1236" w:rsidRPr="00704FC6">
        <w:rPr>
          <w:rFonts w:ascii="Tw Cen MT" w:eastAsia="Times New Roman" w:hAnsi="Tw Cen MT"/>
        </w:rPr>
        <w:t>students</w:t>
      </w:r>
      <w:r w:rsidRPr="00704FC6">
        <w:rPr>
          <w:rFonts w:ascii="Tw Cen MT" w:eastAsia="Times New Roman" w:hAnsi="Tw Cen MT"/>
        </w:rPr>
        <w:t xml:space="preserve"> do to change the name or gender marker on </w:t>
      </w:r>
      <w:r w:rsidR="000A1236" w:rsidRPr="00704FC6">
        <w:rPr>
          <w:rFonts w:ascii="Tw Cen MT" w:eastAsia="Times New Roman" w:hAnsi="Tw Cen MT"/>
        </w:rPr>
        <w:t>a</w:t>
      </w:r>
      <w:r w:rsidRPr="00704FC6">
        <w:rPr>
          <w:rFonts w:ascii="Tw Cen MT" w:eastAsia="Times New Roman" w:hAnsi="Tw Cen MT"/>
        </w:rPr>
        <w:t xml:space="preserve"> student ID, transcript or diploma?</w:t>
      </w:r>
      <w:bookmarkEnd w:id="47"/>
    </w:p>
    <w:p w14:paraId="6380EC3C" w14:textId="77777777" w:rsidR="00FA5CC4" w:rsidRPr="004E5FBC" w:rsidRDefault="00FA5CC4" w:rsidP="004E5FBC">
      <w:pPr>
        <w:spacing w:after="100" w:afterAutospacing="1" w:line="240" w:lineRule="auto"/>
        <w:rPr>
          <w:rFonts w:ascii="Tw Cen MT" w:eastAsia="Times New Roman" w:hAnsi="Tw Cen MT" w:cs="Times New Roman"/>
          <w:sz w:val="24"/>
          <w:szCs w:val="24"/>
        </w:rPr>
      </w:pPr>
      <w:r w:rsidRPr="004E5FBC">
        <w:rPr>
          <w:rFonts w:ascii="Tw Cen MT" w:eastAsia="Times New Roman" w:hAnsi="Tw Cen MT" w:cs="Times New Roman"/>
          <w:sz w:val="24"/>
          <w:szCs w:val="24"/>
        </w:rPr>
        <w:t xml:space="preserve">A: First, </w:t>
      </w:r>
      <w:r w:rsidR="000A1236" w:rsidRPr="004E5FBC">
        <w:rPr>
          <w:rFonts w:ascii="Tw Cen MT" w:eastAsia="Times New Roman" w:hAnsi="Tw Cen MT" w:cs="Times New Roman"/>
          <w:sz w:val="24"/>
          <w:szCs w:val="24"/>
        </w:rPr>
        <w:t xml:space="preserve">encourage students to </w:t>
      </w:r>
      <w:r w:rsidRPr="004E5FBC">
        <w:rPr>
          <w:rFonts w:ascii="Tw Cen MT" w:eastAsia="Times New Roman" w:hAnsi="Tw Cen MT" w:cs="Times New Roman"/>
          <w:sz w:val="24"/>
          <w:szCs w:val="24"/>
        </w:rPr>
        <w:t xml:space="preserve">check to see if </w:t>
      </w:r>
      <w:r w:rsidR="000A1236" w:rsidRPr="004E5FBC">
        <w:rPr>
          <w:rFonts w:ascii="Tw Cen MT" w:eastAsia="Times New Roman" w:hAnsi="Tw Cen MT" w:cs="Times New Roman"/>
          <w:sz w:val="24"/>
          <w:szCs w:val="24"/>
        </w:rPr>
        <w:t>their prospective college</w:t>
      </w:r>
      <w:r w:rsidRPr="004E5FBC">
        <w:rPr>
          <w:rFonts w:ascii="Tw Cen MT" w:eastAsia="Times New Roman" w:hAnsi="Tw Cen MT" w:cs="Times New Roman"/>
          <w:sz w:val="24"/>
          <w:szCs w:val="24"/>
        </w:rPr>
        <w:t xml:space="preserve"> or university already </w:t>
      </w:r>
      <w:proofErr w:type="gramStart"/>
      <w:r w:rsidRPr="004E5FBC">
        <w:rPr>
          <w:rFonts w:ascii="Tw Cen MT" w:eastAsia="Times New Roman" w:hAnsi="Tw Cen MT" w:cs="Times New Roman"/>
          <w:sz w:val="24"/>
          <w:szCs w:val="24"/>
        </w:rPr>
        <w:t>has a procedure in place</w:t>
      </w:r>
      <w:proofErr w:type="gramEnd"/>
      <w:r w:rsidRPr="004E5FBC">
        <w:rPr>
          <w:rFonts w:ascii="Tw Cen MT" w:eastAsia="Times New Roman" w:hAnsi="Tw Cen MT" w:cs="Times New Roman"/>
          <w:sz w:val="24"/>
          <w:szCs w:val="24"/>
        </w:rPr>
        <w:t xml:space="preserve"> for allowing name and gender marker changes on student records. More than a hundred institutions now allow students to indicate their chosen name on school records regardless of whether they have legally changed their name. Others require </w:t>
      </w:r>
      <w:r w:rsidR="000A1236" w:rsidRPr="004E5FBC">
        <w:rPr>
          <w:rFonts w:ascii="Tw Cen MT" w:eastAsia="Times New Roman" w:hAnsi="Tw Cen MT" w:cs="Times New Roman"/>
          <w:sz w:val="24"/>
          <w:szCs w:val="24"/>
        </w:rPr>
        <w:t>students to legally change their</w:t>
      </w:r>
      <w:r w:rsidRPr="004E5FBC">
        <w:rPr>
          <w:rFonts w:ascii="Tw Cen MT" w:eastAsia="Times New Roman" w:hAnsi="Tw Cen MT" w:cs="Times New Roman"/>
          <w:sz w:val="24"/>
          <w:szCs w:val="24"/>
        </w:rPr>
        <w:t xml:space="preserve"> name and gender marker on other documents, such as </w:t>
      </w:r>
      <w:r w:rsidR="000A1236" w:rsidRPr="004E5FBC">
        <w:rPr>
          <w:rFonts w:ascii="Tw Cen MT" w:eastAsia="Times New Roman" w:hAnsi="Tw Cen MT" w:cs="Times New Roman"/>
          <w:sz w:val="24"/>
          <w:szCs w:val="24"/>
        </w:rPr>
        <w:t>a</w:t>
      </w:r>
      <w:r w:rsidRPr="004E5FBC">
        <w:rPr>
          <w:rFonts w:ascii="Tw Cen MT" w:eastAsia="Times New Roman" w:hAnsi="Tw Cen MT" w:cs="Times New Roman"/>
          <w:sz w:val="24"/>
          <w:szCs w:val="24"/>
        </w:rPr>
        <w:t xml:space="preserve"> state ID, passport or birth certificate, before they will amend certain educational records. </w:t>
      </w:r>
      <w:r w:rsidR="00223915" w:rsidRPr="004E5FBC">
        <w:rPr>
          <w:rFonts w:ascii="Tw Cen MT" w:eastAsia="Times New Roman" w:hAnsi="Tw Cen MT" w:cs="Times New Roman"/>
          <w:sz w:val="24"/>
          <w:szCs w:val="24"/>
        </w:rPr>
        <w:t xml:space="preserve">For more information, see the </w:t>
      </w:r>
      <w:r w:rsidR="00223915" w:rsidRPr="004E5FBC">
        <w:rPr>
          <w:rFonts w:ascii="Tw Cen MT" w:eastAsia="Times New Roman" w:hAnsi="Tw Cen MT" w:cs="Times New Roman"/>
          <w:b/>
          <w:sz w:val="24"/>
          <w:szCs w:val="24"/>
        </w:rPr>
        <w:t>Trans Policy Clearinghouse</w:t>
      </w:r>
      <w:r w:rsidR="00223915" w:rsidRPr="004E5FBC">
        <w:rPr>
          <w:rFonts w:ascii="Tw Cen MT" w:eastAsia="Times New Roman" w:hAnsi="Tw Cen MT" w:cs="Times New Roman"/>
          <w:sz w:val="24"/>
          <w:szCs w:val="24"/>
        </w:rPr>
        <w:t xml:space="preserve"> at</w:t>
      </w:r>
      <w:r w:rsidR="00223915" w:rsidRPr="004E5FBC">
        <w:rPr>
          <w:rFonts w:ascii="Tw Cen MT" w:hAnsi="Tw Cen MT"/>
          <w:sz w:val="24"/>
          <w:szCs w:val="24"/>
        </w:rPr>
        <w:t xml:space="preserve"> </w:t>
      </w:r>
      <w:hyperlink r:id="rId75" w:history="1">
        <w:r w:rsidR="00223915" w:rsidRPr="004E5FBC">
          <w:rPr>
            <w:rStyle w:val="Hyperlink"/>
            <w:rFonts w:ascii="Tw Cen MT" w:eastAsia="Times New Roman" w:hAnsi="Tw Cen MT" w:cs="Times New Roman"/>
            <w:sz w:val="24"/>
            <w:szCs w:val="24"/>
          </w:rPr>
          <w:t>www.campuspride.org/tpc/</w:t>
        </w:r>
      </w:hyperlink>
      <w:r w:rsidR="00223915" w:rsidRPr="004E5FBC">
        <w:rPr>
          <w:rFonts w:ascii="Tw Cen MT" w:eastAsia="Times New Roman" w:hAnsi="Tw Cen MT" w:cs="Times New Roman"/>
          <w:sz w:val="24"/>
          <w:szCs w:val="24"/>
        </w:rPr>
        <w:t>.</w:t>
      </w:r>
    </w:p>
    <w:p w14:paraId="63F39788" w14:textId="60C22FF1" w:rsidR="00FA5CC4" w:rsidRPr="004E5FBC" w:rsidRDefault="00FA5CC4" w:rsidP="004E5FBC">
      <w:pPr>
        <w:spacing w:after="100" w:afterAutospacing="1" w:line="240" w:lineRule="auto"/>
        <w:rPr>
          <w:rFonts w:ascii="Tw Cen MT" w:eastAsia="Times New Roman" w:hAnsi="Tw Cen MT" w:cs="Times New Roman"/>
          <w:sz w:val="24"/>
          <w:szCs w:val="24"/>
        </w:rPr>
      </w:pPr>
      <w:r w:rsidRPr="004E5FBC">
        <w:rPr>
          <w:rFonts w:ascii="Tw Cen MT" w:eastAsia="Times New Roman" w:hAnsi="Tw Cen MT" w:cs="Times New Roman"/>
          <w:sz w:val="24"/>
          <w:szCs w:val="24"/>
        </w:rPr>
        <w:t xml:space="preserve">If </w:t>
      </w:r>
      <w:r w:rsidR="000A1236" w:rsidRPr="004E5FBC">
        <w:rPr>
          <w:rFonts w:ascii="Tw Cen MT" w:eastAsia="Times New Roman" w:hAnsi="Tw Cen MT" w:cs="Times New Roman"/>
          <w:sz w:val="24"/>
          <w:szCs w:val="24"/>
        </w:rPr>
        <w:t>the</w:t>
      </w:r>
      <w:r w:rsidRPr="004E5FBC">
        <w:rPr>
          <w:rFonts w:ascii="Tw Cen MT" w:eastAsia="Times New Roman" w:hAnsi="Tw Cen MT" w:cs="Times New Roman"/>
          <w:sz w:val="24"/>
          <w:szCs w:val="24"/>
        </w:rPr>
        <w:t xml:space="preserve"> campus does not have a stated procedure for allowing name and gender marker changes, or if </w:t>
      </w:r>
      <w:r w:rsidR="000A1236" w:rsidRPr="004E5FBC">
        <w:rPr>
          <w:rFonts w:ascii="Tw Cen MT" w:eastAsia="Times New Roman" w:hAnsi="Tw Cen MT" w:cs="Times New Roman"/>
          <w:sz w:val="24"/>
          <w:szCs w:val="24"/>
        </w:rPr>
        <w:t>students</w:t>
      </w:r>
      <w:r w:rsidRPr="004E5FBC">
        <w:rPr>
          <w:rFonts w:ascii="Tw Cen MT" w:eastAsia="Times New Roman" w:hAnsi="Tw Cen MT" w:cs="Times New Roman"/>
          <w:sz w:val="24"/>
          <w:szCs w:val="24"/>
        </w:rPr>
        <w:t xml:space="preserve"> do not or cannot meet the requirements of existing policy, the Registrar’s Offi</w:t>
      </w:r>
      <w:r w:rsidR="000A1236" w:rsidRPr="004E5FBC">
        <w:rPr>
          <w:rFonts w:ascii="Tw Cen MT" w:eastAsia="Times New Roman" w:hAnsi="Tw Cen MT" w:cs="Times New Roman"/>
          <w:sz w:val="24"/>
          <w:szCs w:val="24"/>
        </w:rPr>
        <w:t>ce may be willing to work with those students</w:t>
      </w:r>
      <w:r w:rsidRPr="004E5FBC">
        <w:rPr>
          <w:rFonts w:ascii="Tw Cen MT" w:eastAsia="Times New Roman" w:hAnsi="Tw Cen MT" w:cs="Times New Roman"/>
          <w:sz w:val="24"/>
          <w:szCs w:val="24"/>
        </w:rPr>
        <w:t xml:space="preserve"> to change your educational records.</w:t>
      </w:r>
      <w:r w:rsidR="000A1236" w:rsidRPr="004E5FBC">
        <w:rPr>
          <w:rFonts w:ascii="Tw Cen MT" w:eastAsia="Times New Roman" w:hAnsi="Tw Cen MT" w:cs="Times New Roman"/>
          <w:sz w:val="24"/>
          <w:szCs w:val="24"/>
        </w:rPr>
        <w:t xml:space="preserve"> In approaching the Registrar, students</w:t>
      </w:r>
      <w:r w:rsidRPr="004E5FBC">
        <w:rPr>
          <w:rFonts w:ascii="Tw Cen MT" w:eastAsia="Times New Roman" w:hAnsi="Tw Cen MT" w:cs="Times New Roman"/>
          <w:sz w:val="24"/>
          <w:szCs w:val="24"/>
        </w:rPr>
        <w:t xml:space="preserve"> may want to enlist the support of an ally such as a staff member, faculty or an </w:t>
      </w:r>
      <w:r w:rsidR="00163FEC">
        <w:rPr>
          <w:rFonts w:ascii="Tw Cen MT" w:eastAsia="Times New Roman" w:hAnsi="Tw Cen MT" w:cs="Times New Roman"/>
          <w:sz w:val="24"/>
          <w:szCs w:val="24"/>
        </w:rPr>
        <w:t>LGBTQ+</w:t>
      </w:r>
      <w:r w:rsidRPr="004E5FBC">
        <w:rPr>
          <w:rFonts w:ascii="Tw Cen MT" w:eastAsia="Times New Roman" w:hAnsi="Tw Cen MT" w:cs="Times New Roman"/>
          <w:sz w:val="24"/>
          <w:szCs w:val="24"/>
        </w:rPr>
        <w:t xml:space="preserve"> resource professional. You may also want to bring some helpful materials, including </w:t>
      </w:r>
      <w:hyperlink r:id="rId76" w:tgtFrame="_blank" w:history="1">
        <w:r w:rsidRPr="004E5FBC">
          <w:rPr>
            <w:rStyle w:val="Hyperlink"/>
            <w:sz w:val="24"/>
            <w:szCs w:val="24"/>
          </w:rPr>
          <w:t xml:space="preserve">Lambda </w:t>
        </w:r>
        <w:proofErr w:type="spellStart"/>
        <w:r w:rsidRPr="004E5FBC">
          <w:rPr>
            <w:rStyle w:val="Hyperlink"/>
            <w:sz w:val="24"/>
            <w:szCs w:val="24"/>
          </w:rPr>
          <w:t>Legal’s</w:t>
        </w:r>
        <w:proofErr w:type="spellEnd"/>
        <w:r w:rsidR="002C762B" w:rsidRPr="004E5FBC">
          <w:rPr>
            <w:rStyle w:val="Hyperlink"/>
            <w:sz w:val="24"/>
            <w:szCs w:val="24"/>
          </w:rPr>
          <w:t xml:space="preserve"> </w:t>
        </w:r>
        <w:r w:rsidRPr="004E5FBC">
          <w:rPr>
            <w:rStyle w:val="Hyperlink"/>
            <w:sz w:val="24"/>
            <w:szCs w:val="24"/>
          </w:rPr>
          <w:t>Transgender Rights Toolkit</w:t>
        </w:r>
      </w:hyperlink>
      <w:r w:rsidRPr="004E5FBC">
        <w:rPr>
          <w:rStyle w:val="Hyperlink"/>
          <w:sz w:val="24"/>
          <w:szCs w:val="24"/>
        </w:rPr>
        <w:t>,</w:t>
      </w:r>
      <w:r w:rsidRPr="004E5FBC">
        <w:rPr>
          <w:rFonts w:ascii="Tw Cen MT" w:eastAsia="Times New Roman" w:hAnsi="Tw Cen MT" w:cs="Times New Roman"/>
          <w:sz w:val="24"/>
          <w:szCs w:val="24"/>
        </w:rPr>
        <w:t xml:space="preserve"> in order to help your school understand how important it is to be able to update your educational records.</w:t>
      </w:r>
    </w:p>
    <w:p w14:paraId="13091F2A" w14:textId="77777777" w:rsidR="009C01EA" w:rsidRPr="00260A7E" w:rsidRDefault="009C01EA" w:rsidP="00260A7E">
      <w:pPr>
        <w:spacing w:after="0" w:line="240" w:lineRule="auto"/>
        <w:jc w:val="right"/>
        <w:rPr>
          <w:rFonts w:ascii="Tw Cen MT" w:hAnsi="Tw Cen MT"/>
          <w:iCs/>
          <w:sz w:val="20"/>
          <w:szCs w:val="18"/>
        </w:rPr>
      </w:pPr>
      <w:r w:rsidRPr="00260A7E">
        <w:rPr>
          <w:rFonts w:ascii="Tw Cen MT" w:hAnsi="Tw Cen MT"/>
          <w:sz w:val="20"/>
          <w:szCs w:val="18"/>
        </w:rPr>
        <w:t xml:space="preserve">Source: Lambda Legal- </w:t>
      </w:r>
      <w:hyperlink r:id="rId77" w:anchor="5" w:history="1">
        <w:r w:rsidRPr="00260A7E">
          <w:rPr>
            <w:rStyle w:val="Hyperlink"/>
            <w:rFonts w:ascii="Tw Cen MT" w:hAnsi="Tw Cen MT"/>
            <w:sz w:val="20"/>
            <w:szCs w:val="18"/>
          </w:rPr>
          <w:t>http://www.lambdalegal.org/know-your-rights/transgender/in-college-faq#5</w:t>
        </w:r>
      </w:hyperlink>
      <w:r w:rsidRPr="00260A7E">
        <w:rPr>
          <w:rFonts w:ascii="Tw Cen MT" w:hAnsi="Tw Cen MT"/>
          <w:sz w:val="20"/>
          <w:szCs w:val="18"/>
        </w:rPr>
        <w:t xml:space="preserve"> </w:t>
      </w:r>
      <w:r w:rsidRPr="00260A7E">
        <w:rPr>
          <w:rFonts w:ascii="Tw Cen MT" w:hAnsi="Tw Cen MT"/>
          <w:iCs/>
          <w:color w:val="FFC000"/>
          <w:sz w:val="20"/>
          <w:szCs w:val="18"/>
        </w:rPr>
        <w:t xml:space="preserve">  </w:t>
      </w:r>
    </w:p>
    <w:p w14:paraId="73D7AD2E" w14:textId="77777777" w:rsidR="00260A7E" w:rsidRDefault="00260A7E">
      <w:pPr>
        <w:rPr>
          <w:rFonts w:asciiTheme="majorHAnsi" w:eastAsiaTheme="majorEastAsia" w:hAnsiTheme="majorHAnsi" w:cstheme="majorBidi"/>
          <w:color w:val="6D1D6A" w:themeColor="accent1" w:themeShade="BF"/>
          <w:sz w:val="36"/>
          <w:szCs w:val="36"/>
        </w:rPr>
      </w:pPr>
      <w:bookmarkStart w:id="48" w:name="_Toc451857754"/>
      <w:r>
        <w:br w:type="page"/>
      </w:r>
    </w:p>
    <w:p w14:paraId="141FC055" w14:textId="5848970D" w:rsidR="001319FE" w:rsidRPr="00704FC6" w:rsidRDefault="001319FE" w:rsidP="004E5FBC">
      <w:pPr>
        <w:pStyle w:val="Heading1"/>
      </w:pPr>
      <w:r w:rsidRPr="00704FC6">
        <w:lastRenderedPageBreak/>
        <w:t>Glossary</w:t>
      </w:r>
      <w:bookmarkEnd w:id="48"/>
    </w:p>
    <w:p w14:paraId="21222AF6" w14:textId="77777777" w:rsidR="00D94C49" w:rsidRPr="00704FC6" w:rsidRDefault="00D94C49" w:rsidP="004E5FBC">
      <w:pPr>
        <w:spacing w:after="0" w:line="240" w:lineRule="auto"/>
        <w:rPr>
          <w:rFonts w:ascii="Tw Cen MT" w:hAnsi="Tw Cen MT"/>
          <w:b/>
          <w:sz w:val="20"/>
          <w:szCs w:val="20"/>
        </w:rPr>
      </w:pPr>
    </w:p>
    <w:p w14:paraId="36D6EE0B" w14:textId="77777777" w:rsidR="008E63FF" w:rsidRPr="00CA2AEC" w:rsidRDefault="008E63FF" w:rsidP="004E5FBC">
      <w:pPr>
        <w:spacing w:after="0" w:line="240" w:lineRule="auto"/>
        <w:rPr>
          <w:rFonts w:ascii="Tw Cen MT" w:hAnsi="Tw Cen MT"/>
          <w:sz w:val="24"/>
          <w:szCs w:val="24"/>
        </w:rPr>
      </w:pPr>
      <w:r w:rsidRPr="00CA2AEC">
        <w:rPr>
          <w:rFonts w:ascii="Tw Cen MT" w:hAnsi="Tw Cen MT"/>
          <w:b/>
          <w:sz w:val="24"/>
          <w:szCs w:val="24"/>
        </w:rPr>
        <w:t>Cisgender:</w:t>
      </w:r>
      <w:r w:rsidRPr="00CA2AEC">
        <w:rPr>
          <w:rFonts w:ascii="Tw Cen MT" w:hAnsi="Tw Cen MT"/>
          <w:sz w:val="24"/>
          <w:szCs w:val="24"/>
        </w:rPr>
        <w:t xml:space="preserve"> </w:t>
      </w:r>
      <w:r w:rsidR="00D94C49" w:rsidRPr="00CA2AEC">
        <w:rPr>
          <w:rFonts w:ascii="Tw Cen MT" w:hAnsi="Tw Cen MT"/>
          <w:sz w:val="24"/>
          <w:szCs w:val="24"/>
        </w:rPr>
        <w:t>O</w:t>
      </w:r>
      <w:r w:rsidRPr="00CA2AEC">
        <w:rPr>
          <w:rFonts w:ascii="Tw Cen MT" w:hAnsi="Tw Cen MT"/>
          <w:sz w:val="24"/>
          <w:szCs w:val="24"/>
        </w:rPr>
        <w:t xml:space="preserve">f, relating to, or being </w:t>
      </w:r>
      <w:proofErr w:type="gramStart"/>
      <w:r w:rsidRPr="00CA2AEC">
        <w:rPr>
          <w:rFonts w:ascii="Tw Cen MT" w:hAnsi="Tw Cen MT"/>
          <w:sz w:val="24"/>
          <w:szCs w:val="24"/>
        </w:rPr>
        <w:t>a person</w:t>
      </w:r>
      <w:proofErr w:type="gramEnd"/>
      <w:r w:rsidRPr="00CA2AEC">
        <w:rPr>
          <w:rFonts w:ascii="Tw Cen MT" w:hAnsi="Tw Cen MT"/>
          <w:sz w:val="24"/>
          <w:szCs w:val="24"/>
        </w:rPr>
        <w:t xml:space="preserve"> whose gender identity corresponds with the sex the person had or was identified as having at birth.</w:t>
      </w:r>
    </w:p>
    <w:p w14:paraId="4931601D" w14:textId="6F7F256F" w:rsidR="00093C14" w:rsidRPr="00CA2AEC" w:rsidRDefault="00093C14" w:rsidP="004E5FBC">
      <w:pPr>
        <w:spacing w:after="0" w:line="240" w:lineRule="auto"/>
        <w:rPr>
          <w:rFonts w:ascii="Tw Cen MT" w:hAnsi="Tw Cen MT"/>
          <w:sz w:val="24"/>
          <w:szCs w:val="24"/>
        </w:rPr>
      </w:pPr>
      <w:r w:rsidRPr="00CA2AEC">
        <w:rPr>
          <w:rFonts w:ascii="Tw Cen MT" w:hAnsi="Tw Cen MT"/>
          <w:b/>
          <w:bCs/>
          <w:sz w:val="24"/>
          <w:szCs w:val="24"/>
        </w:rPr>
        <w:t>Gender expression:</w:t>
      </w:r>
      <w:r w:rsidRPr="00CA2AEC">
        <w:rPr>
          <w:rFonts w:ascii="Tw Cen MT" w:hAnsi="Tw Cen MT"/>
          <w:bCs/>
          <w:sz w:val="24"/>
          <w:szCs w:val="24"/>
        </w:rPr>
        <w:t xml:space="preserve"> </w:t>
      </w:r>
      <w:r w:rsidRPr="00CA2AEC">
        <w:rPr>
          <w:rFonts w:ascii="Tw Cen MT" w:hAnsi="Tw Cen MT"/>
          <w:sz w:val="24"/>
          <w:szCs w:val="24"/>
        </w:rPr>
        <w:t>External appearance of one's gender identity, usually expressed through behavior, clothing, haircut or voice, and which may or may not conform to socially defined behaviors and characteristics typically associated with being either masculine or feminine.</w:t>
      </w:r>
    </w:p>
    <w:p w14:paraId="7BCC153F" w14:textId="589E1C36" w:rsidR="00093C14" w:rsidRPr="00CA2AEC" w:rsidRDefault="00093C14" w:rsidP="004E5FBC">
      <w:pPr>
        <w:spacing w:after="0" w:line="240" w:lineRule="auto"/>
        <w:rPr>
          <w:rFonts w:ascii="Tw Cen MT" w:hAnsi="Tw Cen MT"/>
          <w:sz w:val="24"/>
          <w:szCs w:val="24"/>
        </w:rPr>
      </w:pPr>
      <w:r w:rsidRPr="00CA2AEC">
        <w:rPr>
          <w:rFonts w:ascii="Tw Cen MT" w:hAnsi="Tw Cen MT"/>
          <w:b/>
          <w:bCs/>
          <w:sz w:val="24"/>
          <w:szCs w:val="24"/>
        </w:rPr>
        <w:t>Gender-fluid: A</w:t>
      </w:r>
      <w:r w:rsidRPr="00CA2AEC">
        <w:rPr>
          <w:rFonts w:ascii="Tw Cen MT" w:hAnsi="Tw Cen MT"/>
          <w:sz w:val="24"/>
          <w:szCs w:val="24"/>
        </w:rPr>
        <w:t xml:space="preserve"> person who does not identify with a single fixed gender; of or relating to a person having or expressing a fluid or unfixed gender identity.</w:t>
      </w:r>
    </w:p>
    <w:p w14:paraId="6E76EB31" w14:textId="77777777" w:rsidR="001319FE" w:rsidRPr="00CA2AEC" w:rsidRDefault="001319FE" w:rsidP="004E5FBC">
      <w:pPr>
        <w:spacing w:after="0" w:line="240" w:lineRule="auto"/>
        <w:rPr>
          <w:rFonts w:ascii="Tw Cen MT" w:hAnsi="Tw Cen MT"/>
          <w:sz w:val="24"/>
          <w:szCs w:val="24"/>
        </w:rPr>
      </w:pPr>
      <w:r w:rsidRPr="00CA2AEC">
        <w:rPr>
          <w:rFonts w:ascii="Tw Cen MT" w:hAnsi="Tw Cen MT"/>
          <w:b/>
          <w:sz w:val="24"/>
          <w:szCs w:val="24"/>
        </w:rPr>
        <w:t>Gender Identity:</w:t>
      </w:r>
      <w:r w:rsidRPr="00CA2AEC">
        <w:rPr>
          <w:rFonts w:ascii="Tw Cen MT" w:hAnsi="Tw Cen MT"/>
          <w:sz w:val="24"/>
          <w:szCs w:val="24"/>
        </w:rPr>
        <w:t xml:space="preserve"> One's internal, personal sense of his or her own gender. Many people believe in a more fluid gender identity than simply “male” and “female.”</w:t>
      </w:r>
    </w:p>
    <w:p w14:paraId="1B6BCB43" w14:textId="0254717A" w:rsidR="00093C14" w:rsidRPr="00CA2AEC" w:rsidRDefault="00093C14" w:rsidP="004E5FBC">
      <w:pPr>
        <w:spacing w:after="0" w:line="240" w:lineRule="auto"/>
        <w:rPr>
          <w:rFonts w:ascii="Tw Cen MT" w:hAnsi="Tw Cen MT"/>
          <w:sz w:val="24"/>
          <w:szCs w:val="24"/>
        </w:rPr>
      </w:pPr>
      <w:r w:rsidRPr="00CA2AEC">
        <w:rPr>
          <w:rFonts w:ascii="Tw Cen MT" w:hAnsi="Tw Cen MT"/>
          <w:b/>
          <w:sz w:val="24"/>
          <w:szCs w:val="24"/>
        </w:rPr>
        <w:t>Gender Non-conforming</w:t>
      </w:r>
      <w:r w:rsidRPr="00CA2AEC">
        <w:rPr>
          <w:rFonts w:ascii="Tw Cen MT" w:hAnsi="Tw Cen MT"/>
          <w:sz w:val="24"/>
          <w:szCs w:val="24"/>
        </w:rPr>
        <w:t>: A broad term referring to people who do not behave in a way that conforms to the traditional expectations of their gender, or whose gender expression does not fit neatly into a category.</w:t>
      </w:r>
    </w:p>
    <w:p w14:paraId="11618A4E" w14:textId="0F0614DC" w:rsidR="00093C14" w:rsidRPr="00CA2AEC" w:rsidRDefault="00093C14" w:rsidP="004E5FBC">
      <w:pPr>
        <w:spacing w:after="0" w:line="240" w:lineRule="auto"/>
        <w:rPr>
          <w:rFonts w:ascii="Tw Cen MT" w:hAnsi="Tw Cen MT"/>
          <w:sz w:val="24"/>
          <w:szCs w:val="24"/>
        </w:rPr>
      </w:pPr>
      <w:r w:rsidRPr="00CA2AEC">
        <w:rPr>
          <w:rFonts w:ascii="Tw Cen MT" w:hAnsi="Tw Cen MT"/>
          <w:b/>
          <w:sz w:val="24"/>
          <w:szCs w:val="24"/>
        </w:rPr>
        <w:t>Genderqueer:</w:t>
      </w:r>
      <w:r w:rsidRPr="00CA2AEC">
        <w:rPr>
          <w:rFonts w:ascii="Tw Cen MT" w:hAnsi="Tw Cen MT"/>
          <w:sz w:val="24"/>
          <w:szCs w:val="24"/>
        </w:rPr>
        <w:t xml:space="preserve"> Genderqueer people typically reject notions of static categories of gender and embrace a fluidity of gender identity and often, though not always, sexual orientation. People who identify as "genderqueer" may see themselves as being both male and female, neither male nor female or as falling completely outside these categories. Also known as </w:t>
      </w:r>
      <w:r w:rsidRPr="00CA2AEC">
        <w:rPr>
          <w:rFonts w:ascii="Tw Cen MT" w:hAnsi="Tw Cen MT"/>
          <w:b/>
          <w:sz w:val="24"/>
          <w:szCs w:val="24"/>
        </w:rPr>
        <w:t xml:space="preserve">non-binary. </w:t>
      </w:r>
    </w:p>
    <w:p w14:paraId="6329B6C7" w14:textId="77777777" w:rsidR="001319FE" w:rsidRPr="00CA2AEC" w:rsidRDefault="001319FE" w:rsidP="004E5FBC">
      <w:pPr>
        <w:spacing w:after="0" w:line="240" w:lineRule="auto"/>
        <w:rPr>
          <w:rFonts w:ascii="Tw Cen MT" w:hAnsi="Tw Cen MT"/>
          <w:sz w:val="24"/>
          <w:szCs w:val="24"/>
        </w:rPr>
      </w:pPr>
      <w:r w:rsidRPr="00CA2AEC">
        <w:rPr>
          <w:rFonts w:ascii="Tw Cen MT" w:hAnsi="Tw Cen MT"/>
          <w:b/>
          <w:sz w:val="24"/>
          <w:szCs w:val="24"/>
        </w:rPr>
        <w:t>Gender Transition:</w:t>
      </w:r>
      <w:r w:rsidRPr="00CA2AEC">
        <w:rPr>
          <w:rFonts w:ascii="Tw Cen MT" w:hAnsi="Tw Cen MT"/>
          <w:sz w:val="24"/>
          <w:szCs w:val="24"/>
        </w:rPr>
        <w:t xml:space="preserve"> The </w:t>
      </w:r>
      <w:proofErr w:type="gramStart"/>
      <w:r w:rsidRPr="00CA2AEC">
        <w:rPr>
          <w:rFonts w:ascii="Tw Cen MT" w:hAnsi="Tw Cen MT"/>
          <w:sz w:val="24"/>
          <w:szCs w:val="24"/>
        </w:rPr>
        <w:t>period of time</w:t>
      </w:r>
      <w:proofErr w:type="gramEnd"/>
      <w:r w:rsidRPr="00CA2AEC">
        <w:rPr>
          <w:rFonts w:ascii="Tw Cen MT" w:hAnsi="Tw Cen MT"/>
          <w:sz w:val="24"/>
          <w:szCs w:val="24"/>
        </w:rPr>
        <w:t xml:space="preserve"> in which a person begins to live in a gender role that is in accordance with his or her internal gender identity. Transition is not a one-step procedure; it is a complex process that occurs over a long period of time. Transition may include some or all of the following cultural, legal and medical adjustments: informing one's family, friends and/or co-workers; changing one's name and/or sex on legal documents; undergoing hormone therapy; and/or seeking surgical alteration (see Sex Reassignment Surgery).</w:t>
      </w:r>
    </w:p>
    <w:p w14:paraId="5255D36C" w14:textId="77777777" w:rsidR="001319FE" w:rsidRPr="00CA2AEC" w:rsidRDefault="001319FE" w:rsidP="004E5FBC">
      <w:pPr>
        <w:spacing w:after="0" w:line="240" w:lineRule="auto"/>
        <w:rPr>
          <w:rFonts w:ascii="Tw Cen MT" w:hAnsi="Tw Cen MT"/>
          <w:sz w:val="24"/>
          <w:szCs w:val="24"/>
        </w:rPr>
      </w:pPr>
      <w:r w:rsidRPr="00CA2AEC">
        <w:rPr>
          <w:rFonts w:ascii="Tw Cen MT" w:hAnsi="Tw Cen MT"/>
          <w:b/>
          <w:sz w:val="24"/>
          <w:szCs w:val="24"/>
        </w:rPr>
        <w:t>LGBT</w:t>
      </w:r>
      <w:r w:rsidRPr="00CA2AEC">
        <w:rPr>
          <w:rFonts w:ascii="Tw Cen MT" w:hAnsi="Tw Cen MT"/>
          <w:sz w:val="24"/>
          <w:szCs w:val="24"/>
        </w:rPr>
        <w:t>: An acronym, which stands for “Lesbian, Gay, Bisexual and Transgender.” Other versions may add “Q” for Queer or Questioning, “I” for Intersex and “A” for Allied. Some may prefer to list the acronym as TBLG to place trans</w:t>
      </w:r>
      <w:r w:rsidR="008F7908" w:rsidRPr="00CA2AEC">
        <w:rPr>
          <w:rFonts w:ascii="Tw Cen MT" w:hAnsi="Tw Cen MT"/>
          <w:sz w:val="24"/>
          <w:szCs w:val="24"/>
        </w:rPr>
        <w:t xml:space="preserve"> </w:t>
      </w:r>
      <w:r w:rsidRPr="00CA2AEC">
        <w:rPr>
          <w:rFonts w:ascii="Tw Cen MT" w:hAnsi="Tw Cen MT"/>
          <w:sz w:val="24"/>
          <w:szCs w:val="24"/>
        </w:rPr>
        <w:t>people in a position of importance and to rectify the way trans has historically been omitted, devalued or excluded.</w:t>
      </w:r>
    </w:p>
    <w:p w14:paraId="33B5D886" w14:textId="1CBF296B" w:rsidR="00E22819" w:rsidRPr="00E22819" w:rsidRDefault="00E22819" w:rsidP="00E22819">
      <w:pPr>
        <w:spacing w:after="0" w:line="240" w:lineRule="auto"/>
        <w:rPr>
          <w:rFonts w:ascii="Tw Cen MT" w:hAnsi="Tw Cen MT"/>
          <w:sz w:val="24"/>
          <w:szCs w:val="24"/>
        </w:rPr>
      </w:pPr>
      <w:r w:rsidRPr="00E22819">
        <w:rPr>
          <w:rFonts w:ascii="Tw Cen MT" w:hAnsi="Tw Cen MT"/>
          <w:b/>
          <w:bCs/>
          <w:sz w:val="24"/>
          <w:szCs w:val="24"/>
        </w:rPr>
        <w:t>Non-Binary</w:t>
      </w:r>
      <w:r>
        <w:rPr>
          <w:rFonts w:ascii="Tw Cen MT" w:hAnsi="Tw Cen MT"/>
          <w:b/>
          <w:bCs/>
          <w:sz w:val="24"/>
          <w:szCs w:val="24"/>
        </w:rPr>
        <w:t xml:space="preserve">: </w:t>
      </w:r>
      <w:r w:rsidRPr="00E22819">
        <w:rPr>
          <w:rFonts w:ascii="Tw Cen MT" w:hAnsi="Tw Cen MT"/>
          <w:sz w:val="24"/>
          <w:szCs w:val="24"/>
        </w:rPr>
        <w:t>Most people – including most transgender people – are either male or female. But some people don't neatly fit into the categories of "man" or "woman," or “male” or “female.” For example, some people have a gender that blends elements of being a man or a woman, or a gender that is different than either male or female. Some people don't identify with any gender. Some people's gender changes over time.</w:t>
      </w:r>
      <w:r>
        <w:rPr>
          <w:rFonts w:ascii="Tw Cen MT" w:hAnsi="Tw Cen MT"/>
          <w:sz w:val="24"/>
          <w:szCs w:val="24"/>
        </w:rPr>
        <w:t xml:space="preserve"> </w:t>
      </w:r>
      <w:r w:rsidRPr="00E22819">
        <w:rPr>
          <w:rFonts w:ascii="Tw Cen MT" w:hAnsi="Tw Cen MT"/>
          <w:sz w:val="24"/>
          <w:szCs w:val="24"/>
        </w:rPr>
        <w:t xml:space="preserve">People whose gender is not </w:t>
      </w:r>
      <w:proofErr w:type="gramStart"/>
      <w:r w:rsidRPr="00E22819">
        <w:rPr>
          <w:rFonts w:ascii="Tw Cen MT" w:hAnsi="Tw Cen MT"/>
          <w:sz w:val="24"/>
          <w:szCs w:val="24"/>
        </w:rPr>
        <w:t>male</w:t>
      </w:r>
      <w:proofErr w:type="gramEnd"/>
      <w:r w:rsidRPr="00E22819">
        <w:rPr>
          <w:rFonts w:ascii="Tw Cen MT" w:hAnsi="Tw Cen MT"/>
          <w:sz w:val="24"/>
          <w:szCs w:val="24"/>
        </w:rPr>
        <w:t xml:space="preserve"> or female use many different terms to describe themselves, with </w:t>
      </w:r>
      <w:r w:rsidRPr="00E22819">
        <w:rPr>
          <w:rFonts w:ascii="Tw Cen MT" w:hAnsi="Tw Cen MT"/>
          <w:bCs/>
          <w:sz w:val="24"/>
          <w:szCs w:val="24"/>
        </w:rPr>
        <w:t>non-binary </w:t>
      </w:r>
      <w:r w:rsidRPr="00E22819">
        <w:rPr>
          <w:rFonts w:ascii="Tw Cen MT" w:hAnsi="Tw Cen MT"/>
          <w:sz w:val="24"/>
          <w:szCs w:val="24"/>
        </w:rPr>
        <w:t>being one of the most common. Other terms include </w:t>
      </w:r>
      <w:r w:rsidRPr="00E22819">
        <w:rPr>
          <w:rFonts w:ascii="Tw Cen MT" w:hAnsi="Tw Cen MT"/>
          <w:bCs/>
          <w:i/>
          <w:sz w:val="24"/>
          <w:szCs w:val="24"/>
        </w:rPr>
        <w:t>genderqueer</w:t>
      </w:r>
      <w:r w:rsidRPr="00E22819">
        <w:rPr>
          <w:rFonts w:ascii="Tw Cen MT" w:hAnsi="Tw Cen MT"/>
          <w:i/>
          <w:sz w:val="24"/>
          <w:szCs w:val="24"/>
        </w:rPr>
        <w:t>, </w:t>
      </w:r>
      <w:r w:rsidRPr="00E22819">
        <w:rPr>
          <w:rFonts w:ascii="Tw Cen MT" w:hAnsi="Tw Cen MT"/>
          <w:bCs/>
          <w:i/>
          <w:sz w:val="24"/>
          <w:szCs w:val="24"/>
        </w:rPr>
        <w:t>agender</w:t>
      </w:r>
      <w:r w:rsidRPr="00E22819">
        <w:rPr>
          <w:rFonts w:ascii="Tw Cen MT" w:hAnsi="Tw Cen MT"/>
          <w:i/>
          <w:sz w:val="24"/>
          <w:szCs w:val="24"/>
        </w:rPr>
        <w:t>, </w:t>
      </w:r>
      <w:r w:rsidRPr="00E22819">
        <w:rPr>
          <w:rFonts w:ascii="Tw Cen MT" w:hAnsi="Tw Cen MT"/>
          <w:bCs/>
          <w:i/>
          <w:sz w:val="24"/>
          <w:szCs w:val="24"/>
        </w:rPr>
        <w:t>bigender</w:t>
      </w:r>
      <w:r w:rsidRPr="00E22819">
        <w:rPr>
          <w:rFonts w:ascii="Tw Cen MT" w:hAnsi="Tw Cen MT"/>
          <w:i/>
          <w:sz w:val="24"/>
          <w:szCs w:val="24"/>
        </w:rPr>
        <w:t>, and more</w:t>
      </w:r>
      <w:r w:rsidRPr="00E22819">
        <w:rPr>
          <w:rFonts w:ascii="Tw Cen MT" w:hAnsi="Tw Cen MT"/>
          <w:sz w:val="24"/>
          <w:szCs w:val="24"/>
        </w:rPr>
        <w:t xml:space="preserve">. None of these terms mean </w:t>
      </w:r>
      <w:proofErr w:type="gramStart"/>
      <w:r w:rsidRPr="00E22819">
        <w:rPr>
          <w:rFonts w:ascii="Tw Cen MT" w:hAnsi="Tw Cen MT"/>
          <w:sz w:val="24"/>
          <w:szCs w:val="24"/>
        </w:rPr>
        <w:t>exactly the same</w:t>
      </w:r>
      <w:proofErr w:type="gramEnd"/>
      <w:r w:rsidRPr="00E22819">
        <w:rPr>
          <w:rFonts w:ascii="Tw Cen MT" w:hAnsi="Tw Cen MT"/>
          <w:sz w:val="24"/>
          <w:szCs w:val="24"/>
        </w:rPr>
        <w:t xml:space="preserve"> thing – but all speak to an experience of gender that is not simply male or female.</w:t>
      </w:r>
    </w:p>
    <w:p w14:paraId="419CBBFD" w14:textId="728C04A7" w:rsidR="001319FE" w:rsidRPr="00CA2AEC" w:rsidRDefault="001319FE" w:rsidP="004E5FBC">
      <w:pPr>
        <w:spacing w:after="0" w:line="240" w:lineRule="auto"/>
        <w:rPr>
          <w:rFonts w:ascii="Tw Cen MT" w:hAnsi="Tw Cen MT"/>
          <w:sz w:val="24"/>
          <w:szCs w:val="24"/>
        </w:rPr>
      </w:pPr>
      <w:r w:rsidRPr="00CA2AEC">
        <w:rPr>
          <w:rFonts w:ascii="Tw Cen MT" w:hAnsi="Tw Cen MT"/>
          <w:b/>
          <w:sz w:val="24"/>
          <w:szCs w:val="24"/>
        </w:rPr>
        <w:t xml:space="preserve">Queer: </w:t>
      </w:r>
      <w:r w:rsidRPr="00CA2AEC">
        <w:rPr>
          <w:rFonts w:ascii="Tw Cen MT" w:hAnsi="Tw Cen MT"/>
          <w:sz w:val="24"/>
          <w:szCs w:val="24"/>
        </w:rPr>
        <w:t xml:space="preserve">Queer is a term that has been reclaimed by members of the gay, lesbian, bisexual and transgender communities to describe people who transgress culturally imposed norms of heterosexuality and gender traditionalism. </w:t>
      </w:r>
      <w:r w:rsidR="002C762B" w:rsidRPr="00CA2AEC">
        <w:rPr>
          <w:rFonts w:ascii="Tw Cen MT" w:hAnsi="Tw Cen MT"/>
          <w:sz w:val="24"/>
          <w:szCs w:val="24"/>
        </w:rPr>
        <w:t>Although still a derogatory term in many cases,</w:t>
      </w:r>
      <w:r w:rsidRPr="00CA2AEC">
        <w:rPr>
          <w:rFonts w:ascii="Tw Cen MT" w:hAnsi="Tw Cen MT"/>
          <w:sz w:val="24"/>
          <w:szCs w:val="24"/>
        </w:rPr>
        <w:t xml:space="preserve"> many queer-identified people have taken back the word to use it as a symbol of pride and affirmation of difference and diversity.</w:t>
      </w:r>
    </w:p>
    <w:p w14:paraId="34E4A603" w14:textId="77777777" w:rsidR="001319FE" w:rsidRPr="00CA2AEC" w:rsidRDefault="001319FE" w:rsidP="004E5FBC">
      <w:pPr>
        <w:spacing w:after="0" w:line="240" w:lineRule="auto"/>
        <w:rPr>
          <w:rFonts w:ascii="Tw Cen MT" w:hAnsi="Tw Cen MT"/>
          <w:sz w:val="24"/>
          <w:szCs w:val="24"/>
        </w:rPr>
      </w:pPr>
      <w:r w:rsidRPr="00CA2AEC">
        <w:rPr>
          <w:rFonts w:ascii="Tw Cen MT" w:hAnsi="Tw Cen MT"/>
          <w:b/>
          <w:sz w:val="24"/>
          <w:szCs w:val="24"/>
        </w:rPr>
        <w:t>Transgender</w:t>
      </w:r>
      <w:r w:rsidRPr="00CA2AEC">
        <w:rPr>
          <w:rFonts w:ascii="Tw Cen MT" w:hAnsi="Tw Cen MT"/>
          <w:sz w:val="24"/>
          <w:szCs w:val="24"/>
        </w:rPr>
        <w:t>: An umbrella term that describes people whose gender identity and/or gender expression differs from the sex they were assigned at birth. This group includes, but is not limited to, transsexuals, cross-dressers and other gender-variant people. Transgender people may or may not choose to alter their bodies hormonally and/or surgically.</w:t>
      </w:r>
    </w:p>
    <w:p w14:paraId="42C19768" w14:textId="77777777" w:rsidR="00D94C49" w:rsidRPr="00704FC6" w:rsidRDefault="00D94C49" w:rsidP="004E5FBC">
      <w:pPr>
        <w:spacing w:after="0" w:line="240" w:lineRule="auto"/>
        <w:rPr>
          <w:rFonts w:ascii="Tw Cen MT" w:hAnsi="Tw Cen MT"/>
          <w:sz w:val="20"/>
        </w:rPr>
      </w:pPr>
    </w:p>
    <w:p w14:paraId="2DDD76E2" w14:textId="77777777" w:rsidR="001319FE" w:rsidRPr="00CA2AEC" w:rsidRDefault="001319FE" w:rsidP="004E5FBC">
      <w:pPr>
        <w:spacing w:after="0" w:line="240" w:lineRule="auto"/>
        <w:rPr>
          <w:rFonts w:ascii="Tw Cen MT" w:hAnsi="Tw Cen MT"/>
          <w:sz w:val="24"/>
          <w:szCs w:val="24"/>
        </w:rPr>
      </w:pPr>
    </w:p>
    <w:p w14:paraId="242678B8" w14:textId="77777777" w:rsidR="006C0B61" w:rsidRPr="00704FC6" w:rsidRDefault="001319FE" w:rsidP="004E5FBC">
      <w:pPr>
        <w:pStyle w:val="Heading1"/>
      </w:pPr>
      <w:r w:rsidRPr="00704FC6">
        <w:br w:type="page"/>
      </w:r>
      <w:bookmarkStart w:id="49" w:name="_Toc451857755"/>
      <w:r w:rsidR="00021A5C" w:rsidRPr="00704FC6">
        <w:lastRenderedPageBreak/>
        <w:t>S</w:t>
      </w:r>
      <w:r w:rsidR="006C0B61" w:rsidRPr="00704FC6">
        <w:t>ources</w:t>
      </w:r>
      <w:bookmarkEnd w:id="49"/>
    </w:p>
    <w:p w14:paraId="72F202A8" w14:textId="77777777" w:rsidR="00EE4C31" w:rsidRPr="00704FC6" w:rsidRDefault="00EE4C31" w:rsidP="004E5FBC">
      <w:pPr>
        <w:spacing w:after="0" w:line="240" w:lineRule="auto"/>
        <w:rPr>
          <w:rFonts w:ascii="Tw Cen MT" w:hAnsi="Tw Cen MT"/>
          <w:sz w:val="20"/>
        </w:rPr>
      </w:pPr>
    </w:p>
    <w:p w14:paraId="495CE2BD" w14:textId="77777777" w:rsidR="00EE4C31" w:rsidRPr="00CA2AEC" w:rsidRDefault="00724167" w:rsidP="004E5FBC">
      <w:pPr>
        <w:spacing w:line="240" w:lineRule="auto"/>
        <w:rPr>
          <w:rFonts w:ascii="Tw Cen MT" w:hAnsi="Tw Cen MT"/>
          <w:sz w:val="24"/>
          <w:szCs w:val="24"/>
        </w:rPr>
      </w:pPr>
      <w:hyperlink r:id="rId78" w:history="1">
        <w:r w:rsidR="00EE4C31" w:rsidRPr="00CA2AEC">
          <w:rPr>
            <w:rStyle w:val="Hyperlink"/>
            <w:rFonts w:ascii="Tw Cen MT" w:hAnsi="Tw Cen MT"/>
            <w:sz w:val="24"/>
            <w:szCs w:val="24"/>
          </w:rPr>
          <w:t>ACLU-WA</w:t>
        </w:r>
        <w:r w:rsidR="00EE4C31" w:rsidRPr="00CA2AEC">
          <w:rPr>
            <w:rStyle w:val="Hyperlink"/>
            <w:rFonts w:ascii="Tw Cen MT" w:hAnsi="Tw Cen MT"/>
            <w:color w:val="auto"/>
            <w:sz w:val="24"/>
            <w:szCs w:val="24"/>
          </w:rPr>
          <w:t>-</w:t>
        </w:r>
        <w:r w:rsidR="00EE4C31" w:rsidRPr="00CA2AEC">
          <w:rPr>
            <w:rStyle w:val="Hyperlink"/>
            <w:rFonts w:ascii="Tw Cen MT" w:hAnsi="Tw Cen MT"/>
            <w:sz w:val="24"/>
            <w:szCs w:val="24"/>
          </w:rPr>
          <w:t xml:space="preserve"> </w:t>
        </w:r>
      </w:hyperlink>
      <w:r w:rsidR="00EE4C31" w:rsidRPr="00CA2AEC">
        <w:rPr>
          <w:rFonts w:ascii="Tw Cen MT" w:hAnsi="Tw Cen MT"/>
          <w:sz w:val="24"/>
          <w:szCs w:val="24"/>
        </w:rPr>
        <w:t>The ACLU of Washington is a non-partisan organization dedicated to protecting, fostering, and extending the civil liberties principles embodied in the Bill of Rights and the Washington State Constitution</w:t>
      </w:r>
      <w:r w:rsidR="00EE4C31" w:rsidRPr="00CA2AEC">
        <w:rPr>
          <w:rStyle w:val="textexposedshow"/>
          <w:rFonts w:ascii="Tw Cen MT" w:hAnsi="Tw Cen MT"/>
          <w:sz w:val="24"/>
          <w:szCs w:val="24"/>
        </w:rPr>
        <w:t xml:space="preserve">. </w:t>
      </w:r>
    </w:p>
    <w:p w14:paraId="0B73424F" w14:textId="2D08C0B5" w:rsidR="00EE4C31" w:rsidRPr="00CA2AEC" w:rsidRDefault="00724167" w:rsidP="004E5FBC">
      <w:pPr>
        <w:spacing w:line="240" w:lineRule="auto"/>
        <w:rPr>
          <w:rFonts w:ascii="Tw Cen MT" w:hAnsi="Tw Cen MT"/>
          <w:sz w:val="24"/>
          <w:szCs w:val="24"/>
        </w:rPr>
      </w:pPr>
      <w:hyperlink r:id="rId79" w:history="1">
        <w:r w:rsidR="00EE4C31" w:rsidRPr="00CA2AEC">
          <w:rPr>
            <w:rStyle w:val="Hyperlink"/>
            <w:rFonts w:ascii="Tw Cen MT" w:hAnsi="Tw Cen MT"/>
            <w:sz w:val="24"/>
            <w:szCs w:val="24"/>
          </w:rPr>
          <w:t>Campus Pride Index</w:t>
        </w:r>
        <w:r w:rsidR="00EE4C31" w:rsidRPr="00CA2AEC">
          <w:rPr>
            <w:rStyle w:val="Hyperlink"/>
            <w:rFonts w:ascii="Tw Cen MT" w:hAnsi="Tw Cen MT"/>
            <w:color w:val="auto"/>
            <w:sz w:val="24"/>
            <w:szCs w:val="24"/>
          </w:rPr>
          <w:t xml:space="preserve">- </w:t>
        </w:r>
      </w:hyperlink>
      <w:r w:rsidR="00EE4C31" w:rsidRPr="00CA2AEC">
        <w:rPr>
          <w:rFonts w:ascii="Tw Cen MT" w:hAnsi="Tw Cen MT"/>
          <w:sz w:val="24"/>
          <w:szCs w:val="24"/>
        </w:rPr>
        <w:t xml:space="preserve"> Campus Pride is the leading national educational organization for </w:t>
      </w:r>
      <w:r w:rsidR="00163FEC">
        <w:rPr>
          <w:rFonts w:ascii="Tw Cen MT" w:hAnsi="Tw Cen MT"/>
          <w:sz w:val="24"/>
          <w:szCs w:val="24"/>
        </w:rPr>
        <w:t>LGBTQ+</w:t>
      </w:r>
      <w:r w:rsidR="00EE4C31" w:rsidRPr="00CA2AEC">
        <w:rPr>
          <w:rFonts w:ascii="Tw Cen MT" w:hAnsi="Tw Cen MT"/>
          <w:sz w:val="24"/>
          <w:szCs w:val="24"/>
        </w:rPr>
        <w:t xml:space="preserve"> and ally college students and campus groups building future leaders and safer, more </w:t>
      </w:r>
      <w:r w:rsidR="00163FEC">
        <w:rPr>
          <w:rFonts w:ascii="Tw Cen MT" w:hAnsi="Tw Cen MT"/>
          <w:sz w:val="24"/>
          <w:szCs w:val="24"/>
        </w:rPr>
        <w:t>LGBTQ+</w:t>
      </w:r>
      <w:r w:rsidR="00EE4C31" w:rsidRPr="00CA2AEC">
        <w:rPr>
          <w:rFonts w:ascii="Tw Cen MT" w:hAnsi="Tw Cen MT"/>
          <w:sz w:val="24"/>
          <w:szCs w:val="24"/>
        </w:rPr>
        <w:t>-friendly learning environments at colleges and universities.</w:t>
      </w:r>
    </w:p>
    <w:p w14:paraId="5FC3756A" w14:textId="77777777" w:rsidR="00EE4C31" w:rsidRPr="00CA2AEC" w:rsidRDefault="00724167" w:rsidP="004E5FBC">
      <w:pPr>
        <w:spacing w:line="240" w:lineRule="auto"/>
        <w:rPr>
          <w:rFonts w:ascii="Tw Cen MT" w:hAnsi="Tw Cen MT"/>
          <w:sz w:val="24"/>
          <w:szCs w:val="24"/>
        </w:rPr>
      </w:pPr>
      <w:hyperlink r:id="rId80" w:history="1">
        <w:r w:rsidR="00EE4C31" w:rsidRPr="00CA2AEC">
          <w:rPr>
            <w:rStyle w:val="Hyperlink"/>
            <w:rFonts w:ascii="Tw Cen MT" w:hAnsi="Tw Cen MT"/>
            <w:sz w:val="24"/>
            <w:szCs w:val="24"/>
          </w:rPr>
          <w:t>Federal Student Aid</w:t>
        </w:r>
        <w:r w:rsidR="00EE4C31" w:rsidRPr="00CA2AEC">
          <w:rPr>
            <w:rStyle w:val="Hyperlink"/>
            <w:rFonts w:ascii="Tw Cen MT" w:hAnsi="Tw Cen MT"/>
            <w:color w:val="auto"/>
            <w:sz w:val="24"/>
            <w:szCs w:val="24"/>
          </w:rPr>
          <w:t>-</w:t>
        </w:r>
      </w:hyperlink>
      <w:r w:rsidR="00EE4C31" w:rsidRPr="00CA2AEC">
        <w:rPr>
          <w:rFonts w:ascii="Tw Cen MT" w:hAnsi="Tw Cen MT"/>
          <w:sz w:val="24"/>
          <w:szCs w:val="24"/>
        </w:rPr>
        <w:t xml:space="preserve"> Federal Student Aid, a part of the U.S. Department of Education, is the largest provider of student financial aid in the nation.</w:t>
      </w:r>
    </w:p>
    <w:p w14:paraId="687C3D7F" w14:textId="77777777" w:rsidR="00EE4C31" w:rsidRPr="00CA2AEC" w:rsidRDefault="00724167" w:rsidP="004E5FBC">
      <w:pPr>
        <w:spacing w:line="240" w:lineRule="auto"/>
        <w:rPr>
          <w:rFonts w:ascii="Tw Cen MT" w:hAnsi="Tw Cen MT"/>
          <w:sz w:val="24"/>
          <w:szCs w:val="24"/>
        </w:rPr>
      </w:pPr>
      <w:hyperlink r:id="rId81" w:history="1">
        <w:r w:rsidR="00EE4C31" w:rsidRPr="00CA2AEC">
          <w:rPr>
            <w:rStyle w:val="Hyperlink"/>
            <w:rFonts w:ascii="Tw Cen MT" w:hAnsi="Tw Cen MT"/>
            <w:sz w:val="24"/>
            <w:szCs w:val="24"/>
          </w:rPr>
          <w:t>GLSEN (Gay, Lesbian, Straight Education Network</w:t>
        </w:r>
        <w:r w:rsidR="00BF0972" w:rsidRPr="00CA2AEC">
          <w:rPr>
            <w:rStyle w:val="Hyperlink"/>
            <w:rFonts w:ascii="Tw Cen MT" w:hAnsi="Tw Cen MT"/>
            <w:sz w:val="24"/>
            <w:szCs w:val="24"/>
          </w:rPr>
          <w:t>)</w:t>
        </w:r>
      </w:hyperlink>
      <w:r w:rsidR="00EE4C31" w:rsidRPr="00CA2AEC">
        <w:rPr>
          <w:rFonts w:ascii="Tw Cen MT" w:hAnsi="Tw Cen MT"/>
          <w:sz w:val="24"/>
          <w:szCs w:val="24"/>
        </w:rPr>
        <w:t>– A national organization for educators and students who want to create schools where differences are respected. They support Safe Space training, a Day of Silence event, Gay Straight Alliance clubs, and other resources for educators.</w:t>
      </w:r>
    </w:p>
    <w:p w14:paraId="015010C0" w14:textId="77777777" w:rsidR="00EE4C31" w:rsidRPr="00CA2AEC" w:rsidRDefault="00724167" w:rsidP="004E5FBC">
      <w:pPr>
        <w:spacing w:line="240" w:lineRule="auto"/>
        <w:rPr>
          <w:rFonts w:ascii="Tw Cen MT" w:hAnsi="Tw Cen MT"/>
          <w:sz w:val="24"/>
          <w:szCs w:val="24"/>
        </w:rPr>
      </w:pPr>
      <w:hyperlink r:id="rId82" w:history="1">
        <w:r w:rsidR="00EE4C31" w:rsidRPr="00CA2AEC">
          <w:rPr>
            <w:rStyle w:val="Hyperlink"/>
            <w:rFonts w:ascii="Tw Cen MT" w:hAnsi="Tw Cen MT"/>
            <w:sz w:val="24"/>
            <w:szCs w:val="24"/>
          </w:rPr>
          <w:t>Human Rights Campaign</w:t>
        </w:r>
        <w:r w:rsidR="00EE4C31" w:rsidRPr="00CA2AEC">
          <w:rPr>
            <w:rStyle w:val="Hyperlink"/>
            <w:rFonts w:ascii="Tw Cen MT" w:hAnsi="Tw Cen MT"/>
            <w:color w:val="auto"/>
            <w:sz w:val="24"/>
            <w:szCs w:val="24"/>
          </w:rPr>
          <w:t xml:space="preserve">- </w:t>
        </w:r>
      </w:hyperlink>
      <w:r w:rsidR="00EE4C31" w:rsidRPr="00CA2AEC">
        <w:rPr>
          <w:rFonts w:ascii="Tw Cen MT" w:hAnsi="Tw Cen MT"/>
          <w:sz w:val="24"/>
          <w:szCs w:val="24"/>
        </w:rPr>
        <w:t>National lesbian, gay, bisexual and transgender civil rights organization,</w:t>
      </w:r>
    </w:p>
    <w:p w14:paraId="779F4088" w14:textId="69472455" w:rsidR="00EE4C31" w:rsidRPr="00CA2AEC" w:rsidRDefault="00724167" w:rsidP="004E5FBC">
      <w:pPr>
        <w:spacing w:line="240" w:lineRule="auto"/>
        <w:rPr>
          <w:rFonts w:ascii="Tw Cen MT" w:hAnsi="Tw Cen MT"/>
          <w:sz w:val="24"/>
          <w:szCs w:val="24"/>
        </w:rPr>
      </w:pPr>
      <w:hyperlink r:id="rId83" w:history="1">
        <w:r w:rsidR="00EE4C31" w:rsidRPr="00CA2AEC">
          <w:rPr>
            <w:rStyle w:val="Hyperlink"/>
            <w:rFonts w:ascii="Tw Cen MT" w:hAnsi="Tw Cen MT"/>
            <w:sz w:val="24"/>
            <w:szCs w:val="24"/>
          </w:rPr>
          <w:t>Lambda Legal Defense Fund</w:t>
        </w:r>
      </w:hyperlink>
      <w:r w:rsidR="00EE4C31" w:rsidRPr="00CA2AEC">
        <w:rPr>
          <w:rFonts w:ascii="Tw Cen MT" w:hAnsi="Tw Cen MT"/>
          <w:sz w:val="24"/>
          <w:szCs w:val="24"/>
        </w:rPr>
        <w:t xml:space="preserve">– The organization’s goal is to create equality for lesbians and gays. They have developed publications on </w:t>
      </w:r>
      <w:r w:rsidR="00163FEC">
        <w:rPr>
          <w:rFonts w:ascii="Tw Cen MT" w:hAnsi="Tw Cen MT"/>
          <w:sz w:val="24"/>
          <w:szCs w:val="24"/>
        </w:rPr>
        <w:t>LGBTQ+</w:t>
      </w:r>
      <w:r w:rsidR="00EE4C31" w:rsidRPr="00CA2AEC">
        <w:rPr>
          <w:rFonts w:ascii="Tw Cen MT" w:hAnsi="Tw Cen MT"/>
          <w:sz w:val="24"/>
          <w:szCs w:val="24"/>
        </w:rPr>
        <w:t xml:space="preserve"> students’ rights.</w:t>
      </w:r>
    </w:p>
    <w:p w14:paraId="337B96BF" w14:textId="1013E351" w:rsidR="00EE4C31" w:rsidRPr="00CA2AEC" w:rsidRDefault="00724167" w:rsidP="004E5FBC">
      <w:pPr>
        <w:spacing w:line="240" w:lineRule="auto"/>
        <w:rPr>
          <w:rFonts w:ascii="Tw Cen MT" w:hAnsi="Tw Cen MT"/>
          <w:sz w:val="24"/>
          <w:szCs w:val="24"/>
        </w:rPr>
      </w:pPr>
      <w:hyperlink r:id="rId84" w:history="1">
        <w:r w:rsidR="00EE4C31" w:rsidRPr="00CA2AEC">
          <w:rPr>
            <w:rStyle w:val="Hyperlink"/>
            <w:rFonts w:ascii="Tw Cen MT" w:hAnsi="Tw Cen MT"/>
            <w:sz w:val="24"/>
            <w:szCs w:val="24"/>
          </w:rPr>
          <w:t>National Center for Transgender Equality</w:t>
        </w:r>
      </w:hyperlink>
      <w:r w:rsidR="00EE4C31" w:rsidRPr="00CA2AEC">
        <w:rPr>
          <w:rFonts w:ascii="Tw Cen MT" w:hAnsi="Tw Cen MT"/>
          <w:sz w:val="24"/>
          <w:szCs w:val="24"/>
        </w:rPr>
        <w:t>– A national social justice advocacy organization. Offers guidance around</w:t>
      </w:r>
      <w:r w:rsidR="00DC2A7E" w:rsidRPr="00CA2AEC">
        <w:rPr>
          <w:rFonts w:ascii="Tw Cen MT" w:hAnsi="Tw Cen MT"/>
          <w:sz w:val="24"/>
          <w:szCs w:val="24"/>
        </w:rPr>
        <w:t xml:space="preserve"> </w:t>
      </w:r>
      <w:r w:rsidR="00EE4C31" w:rsidRPr="00CA2AEC">
        <w:rPr>
          <w:rFonts w:ascii="Tw Cen MT" w:hAnsi="Tw Cen MT"/>
          <w:sz w:val="24"/>
          <w:szCs w:val="24"/>
        </w:rPr>
        <w:t xml:space="preserve">transgender rights. </w:t>
      </w:r>
    </w:p>
    <w:p w14:paraId="2752EDA3" w14:textId="77777777" w:rsidR="00EE4C31" w:rsidRPr="00CA2AEC" w:rsidRDefault="00724167" w:rsidP="004E5FBC">
      <w:pPr>
        <w:spacing w:after="0" w:line="240" w:lineRule="auto"/>
        <w:rPr>
          <w:rFonts w:ascii="Tw Cen MT" w:hAnsi="Tw Cen MT"/>
          <w:sz w:val="24"/>
          <w:szCs w:val="24"/>
        </w:rPr>
      </w:pPr>
      <w:hyperlink r:id="rId85" w:history="1">
        <w:r w:rsidR="00EE4C31" w:rsidRPr="00CA2AEC">
          <w:rPr>
            <w:rStyle w:val="Hyperlink"/>
            <w:rFonts w:ascii="Tw Cen MT" w:hAnsi="Tw Cen MT"/>
            <w:sz w:val="24"/>
            <w:szCs w:val="24"/>
          </w:rPr>
          <w:t>Office of Superintendent of Public Instruction</w:t>
        </w:r>
      </w:hyperlink>
      <w:r w:rsidR="00EE4C31" w:rsidRPr="00CA2AEC">
        <w:rPr>
          <w:rFonts w:ascii="Tw Cen MT" w:hAnsi="Tw Cen MT"/>
          <w:sz w:val="24"/>
          <w:szCs w:val="24"/>
        </w:rPr>
        <w:t xml:space="preserve">- The primary agency charged with overseeing K-12 public education in Washington. </w:t>
      </w:r>
    </w:p>
    <w:p w14:paraId="33734E4C" w14:textId="77777777" w:rsidR="00EE4C31" w:rsidRPr="00CA2AEC" w:rsidRDefault="00EE4C31" w:rsidP="004E5FBC">
      <w:pPr>
        <w:spacing w:after="0" w:line="240" w:lineRule="auto"/>
        <w:rPr>
          <w:rFonts w:ascii="Tw Cen MT" w:hAnsi="Tw Cen MT"/>
          <w:sz w:val="24"/>
          <w:szCs w:val="24"/>
        </w:rPr>
      </w:pPr>
    </w:p>
    <w:p w14:paraId="698F8968" w14:textId="6C02E21C" w:rsidR="00EE4C31" w:rsidRPr="00CA2AEC" w:rsidRDefault="00724167" w:rsidP="004E5FBC">
      <w:pPr>
        <w:spacing w:line="240" w:lineRule="auto"/>
        <w:rPr>
          <w:rFonts w:ascii="Tw Cen MT" w:hAnsi="Tw Cen MT"/>
          <w:sz w:val="24"/>
          <w:szCs w:val="24"/>
        </w:rPr>
      </w:pPr>
      <w:hyperlink r:id="rId86" w:history="1">
        <w:r w:rsidR="00EE4C31" w:rsidRPr="00CA2AEC">
          <w:rPr>
            <w:rStyle w:val="Hyperlink"/>
            <w:rFonts w:ascii="Tw Cen MT" w:hAnsi="Tw Cen MT"/>
            <w:sz w:val="24"/>
            <w:szCs w:val="24"/>
          </w:rPr>
          <w:t>Safe Schools Coalition</w:t>
        </w:r>
      </w:hyperlink>
      <w:r w:rsidR="00EE4C31" w:rsidRPr="00CA2AEC">
        <w:rPr>
          <w:rFonts w:ascii="Tw Cen MT" w:hAnsi="Tw Cen MT"/>
          <w:sz w:val="24"/>
          <w:szCs w:val="24"/>
        </w:rPr>
        <w:t xml:space="preserve">– A pioneer in assessing the safety of </w:t>
      </w:r>
      <w:r w:rsidR="00163FEC">
        <w:rPr>
          <w:rFonts w:ascii="Tw Cen MT" w:hAnsi="Tw Cen MT"/>
          <w:sz w:val="24"/>
          <w:szCs w:val="24"/>
        </w:rPr>
        <w:t>LGBTQ+</w:t>
      </w:r>
      <w:r w:rsidR="00EE4C31" w:rsidRPr="00CA2AEC">
        <w:rPr>
          <w:rFonts w:ascii="Tw Cen MT" w:hAnsi="Tw Cen MT"/>
          <w:sz w:val="24"/>
          <w:szCs w:val="24"/>
        </w:rPr>
        <w:t xml:space="preserve"> youth and provides student panels and mediation for schools in Washington.</w:t>
      </w:r>
    </w:p>
    <w:p w14:paraId="429745C7" w14:textId="77777777" w:rsidR="00EE4C31" w:rsidRPr="00CA2AEC" w:rsidRDefault="00724167" w:rsidP="004E5FBC">
      <w:pPr>
        <w:spacing w:line="240" w:lineRule="auto"/>
        <w:rPr>
          <w:rFonts w:ascii="Tw Cen MT" w:hAnsi="Tw Cen MT"/>
          <w:sz w:val="24"/>
          <w:szCs w:val="24"/>
        </w:rPr>
      </w:pPr>
      <w:hyperlink r:id="rId87" w:history="1">
        <w:r w:rsidR="00EE4C31" w:rsidRPr="00CA2AEC">
          <w:rPr>
            <w:rStyle w:val="Hyperlink"/>
            <w:rFonts w:ascii="Tw Cen MT" w:hAnsi="Tw Cen MT"/>
            <w:sz w:val="24"/>
            <w:szCs w:val="24"/>
          </w:rPr>
          <w:t>Teaching Tolerance</w:t>
        </w:r>
      </w:hyperlink>
      <w:r w:rsidR="00EE4C31" w:rsidRPr="00CA2AEC">
        <w:rPr>
          <w:rFonts w:ascii="Tw Cen MT" w:hAnsi="Tw Cen MT"/>
          <w:sz w:val="24"/>
          <w:szCs w:val="24"/>
        </w:rPr>
        <w:t xml:space="preserve">- A place for educators to find thought-provoking news, conversation and support for those who care about diversity, equal opportunity and respect for differences in schools. </w:t>
      </w:r>
    </w:p>
    <w:p w14:paraId="405CCBD1" w14:textId="76BD6BB7" w:rsidR="00EE4C31" w:rsidRPr="00CA2AEC" w:rsidRDefault="00724167" w:rsidP="004E5FBC">
      <w:pPr>
        <w:spacing w:line="240" w:lineRule="auto"/>
        <w:rPr>
          <w:rFonts w:ascii="Tw Cen MT" w:hAnsi="Tw Cen MT"/>
          <w:sz w:val="24"/>
          <w:szCs w:val="24"/>
        </w:rPr>
      </w:pPr>
      <w:hyperlink r:id="rId88" w:history="1">
        <w:r w:rsidR="00EE4C31" w:rsidRPr="00CA2AEC">
          <w:rPr>
            <w:rStyle w:val="Hyperlink"/>
            <w:rFonts w:ascii="Tw Cen MT" w:hAnsi="Tw Cen MT"/>
            <w:sz w:val="24"/>
            <w:szCs w:val="24"/>
          </w:rPr>
          <w:t xml:space="preserve">U.S. Department of </w:t>
        </w:r>
        <w:proofErr w:type="gramStart"/>
        <w:r w:rsidR="00EE4C31" w:rsidRPr="00CA2AEC">
          <w:rPr>
            <w:rStyle w:val="Hyperlink"/>
            <w:rFonts w:ascii="Tw Cen MT" w:hAnsi="Tw Cen MT"/>
            <w:sz w:val="24"/>
            <w:szCs w:val="24"/>
          </w:rPr>
          <w:t>Education(</w:t>
        </w:r>
        <w:proofErr w:type="gramEnd"/>
        <w:r w:rsidR="00EE4C31" w:rsidRPr="00CA2AEC">
          <w:rPr>
            <w:rStyle w:val="Hyperlink"/>
            <w:rFonts w:ascii="Tw Cen MT" w:hAnsi="Tw Cen MT"/>
            <w:sz w:val="24"/>
            <w:szCs w:val="24"/>
          </w:rPr>
          <w:t>ED</w:t>
        </w:r>
        <w:r w:rsidR="00BF0972" w:rsidRPr="00CA2AEC">
          <w:rPr>
            <w:rStyle w:val="Hyperlink"/>
            <w:rFonts w:ascii="Tw Cen MT" w:hAnsi="Tw Cen MT"/>
            <w:sz w:val="24"/>
            <w:szCs w:val="24"/>
          </w:rPr>
          <w:t>)</w:t>
        </w:r>
        <w:r w:rsidR="00BF0972" w:rsidRPr="00CA2AEC">
          <w:rPr>
            <w:rStyle w:val="Hyperlink"/>
            <w:rFonts w:ascii="Tw Cen MT" w:hAnsi="Tw Cen MT"/>
            <w:color w:val="auto"/>
            <w:sz w:val="24"/>
            <w:szCs w:val="24"/>
            <w:u w:val="none"/>
          </w:rPr>
          <w:t>-</w:t>
        </w:r>
      </w:hyperlink>
      <w:r w:rsidR="004E5FBC">
        <w:rPr>
          <w:rStyle w:val="Hyperlink"/>
          <w:rFonts w:ascii="Tw Cen MT" w:hAnsi="Tw Cen MT"/>
          <w:color w:val="auto"/>
          <w:sz w:val="24"/>
          <w:szCs w:val="24"/>
          <w:u w:val="none"/>
        </w:rPr>
        <w:t xml:space="preserve"> </w:t>
      </w:r>
      <w:r w:rsidR="00EE4C31" w:rsidRPr="00CA2AEC">
        <w:rPr>
          <w:rFonts w:ascii="Tw Cen MT" w:hAnsi="Tw Cen MT"/>
          <w:sz w:val="24"/>
          <w:szCs w:val="24"/>
        </w:rPr>
        <w:t>ED's mission is to promote student achievement and preparation for global competitiveness by fostering educational excellence and ensuring equal access.</w:t>
      </w:r>
    </w:p>
    <w:p w14:paraId="4303F9AD" w14:textId="77777777" w:rsidR="00EE4C31" w:rsidRPr="00CA2AEC" w:rsidRDefault="00724167" w:rsidP="004E5FBC">
      <w:pPr>
        <w:spacing w:line="240" w:lineRule="auto"/>
        <w:rPr>
          <w:rFonts w:ascii="Tw Cen MT" w:hAnsi="Tw Cen MT"/>
          <w:sz w:val="24"/>
          <w:szCs w:val="24"/>
        </w:rPr>
      </w:pPr>
      <w:hyperlink r:id="rId89" w:history="1">
        <w:r w:rsidR="00EE4C31" w:rsidRPr="00CA2AEC">
          <w:rPr>
            <w:rStyle w:val="Hyperlink"/>
            <w:rFonts w:ascii="Tw Cen MT" w:hAnsi="Tw Cen MT"/>
            <w:sz w:val="24"/>
            <w:szCs w:val="24"/>
          </w:rPr>
          <w:t>Washington State Legislature</w:t>
        </w:r>
      </w:hyperlink>
      <w:r w:rsidR="00EE4C31" w:rsidRPr="00CA2AEC">
        <w:rPr>
          <w:rFonts w:ascii="Tw Cen MT" w:hAnsi="Tw Cen MT"/>
          <w:sz w:val="24"/>
          <w:szCs w:val="24"/>
        </w:rPr>
        <w:t xml:space="preserve">- Find information on </w:t>
      </w:r>
      <w:r w:rsidR="00BF0972" w:rsidRPr="00CA2AEC">
        <w:rPr>
          <w:rFonts w:ascii="Tw Cen MT" w:hAnsi="Tw Cen MT"/>
          <w:sz w:val="24"/>
          <w:szCs w:val="24"/>
        </w:rPr>
        <w:t xml:space="preserve">Washington State </w:t>
      </w:r>
      <w:r w:rsidR="00EE4C31" w:rsidRPr="00CA2AEC">
        <w:rPr>
          <w:rFonts w:ascii="Tw Cen MT" w:hAnsi="Tw Cen MT"/>
          <w:sz w:val="24"/>
          <w:szCs w:val="24"/>
        </w:rPr>
        <w:t>bills</w:t>
      </w:r>
      <w:r w:rsidR="00BF0972" w:rsidRPr="00CA2AEC">
        <w:rPr>
          <w:rFonts w:ascii="Tw Cen MT" w:hAnsi="Tw Cen MT"/>
          <w:sz w:val="24"/>
          <w:szCs w:val="24"/>
        </w:rPr>
        <w:t>, laws, rules and regulations</w:t>
      </w:r>
      <w:r w:rsidR="00EE4C31" w:rsidRPr="00CA2AEC">
        <w:rPr>
          <w:rFonts w:ascii="Tw Cen MT" w:hAnsi="Tw Cen MT"/>
          <w:sz w:val="24"/>
          <w:szCs w:val="24"/>
        </w:rPr>
        <w:t xml:space="preserve">. </w:t>
      </w:r>
    </w:p>
    <w:p w14:paraId="0A8E3925" w14:textId="77777777" w:rsidR="00D94C49" w:rsidRPr="00CA2AEC" w:rsidRDefault="00D94C49" w:rsidP="004E5FBC">
      <w:pPr>
        <w:spacing w:line="240" w:lineRule="auto"/>
        <w:rPr>
          <w:rFonts w:ascii="Tw Cen MT" w:hAnsi="Tw Cen MT"/>
          <w:sz w:val="24"/>
          <w:szCs w:val="24"/>
        </w:rPr>
      </w:pPr>
    </w:p>
    <w:sectPr w:rsidR="00D94C49" w:rsidRPr="00CA2AEC" w:rsidSect="00945A8B">
      <w:type w:val="continuous"/>
      <w:pgSz w:w="12240" w:h="15840" w:code="1"/>
      <w:pgMar w:top="1440" w:right="1440" w:bottom="1440" w:left="1440"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7646E" w14:textId="77777777" w:rsidR="001477B5" w:rsidRDefault="001477B5">
      <w:pPr>
        <w:spacing w:after="0"/>
      </w:pPr>
      <w:r>
        <w:separator/>
      </w:r>
    </w:p>
    <w:p w14:paraId="70849E1C" w14:textId="77777777" w:rsidR="001477B5" w:rsidRDefault="001477B5"/>
    <w:p w14:paraId="2AB28352" w14:textId="77777777" w:rsidR="001477B5" w:rsidRDefault="001477B5"/>
  </w:endnote>
  <w:endnote w:type="continuationSeparator" w:id="0">
    <w:p w14:paraId="3AE894B7" w14:textId="77777777" w:rsidR="001477B5" w:rsidRDefault="001477B5">
      <w:pPr>
        <w:spacing w:after="0"/>
      </w:pPr>
      <w:r>
        <w:continuationSeparator/>
      </w:r>
    </w:p>
    <w:p w14:paraId="079E0048" w14:textId="77777777" w:rsidR="001477B5" w:rsidRDefault="001477B5"/>
    <w:p w14:paraId="537D8ECA" w14:textId="77777777" w:rsidR="001477B5" w:rsidRDefault="001477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295279"/>
      <w:docPartObj>
        <w:docPartGallery w:val="Page Numbers (Bottom of Page)"/>
        <w:docPartUnique/>
      </w:docPartObj>
    </w:sdtPr>
    <w:sdtEndPr>
      <w:rPr>
        <w:noProof/>
      </w:rPr>
    </w:sdtEndPr>
    <w:sdtContent>
      <w:p w14:paraId="1A62158F" w14:textId="0984D12A" w:rsidR="00BF0972" w:rsidRDefault="00BF0972">
        <w:pPr>
          <w:pStyle w:val="Footer"/>
          <w:jc w:val="right"/>
        </w:pPr>
        <w:r>
          <w:fldChar w:fldCharType="begin"/>
        </w:r>
        <w:r>
          <w:instrText xml:space="preserve"> PAGE   \* MERGEFORMAT </w:instrText>
        </w:r>
        <w:r>
          <w:fldChar w:fldCharType="separate"/>
        </w:r>
        <w:r w:rsidR="004C21EF">
          <w:rPr>
            <w:noProof/>
          </w:rPr>
          <w:t>9</w:t>
        </w:r>
        <w:r>
          <w:rPr>
            <w:noProof/>
          </w:rPr>
          <w:fldChar w:fldCharType="end"/>
        </w:r>
      </w:p>
    </w:sdtContent>
  </w:sdt>
  <w:p w14:paraId="3FE1D070" w14:textId="77777777" w:rsidR="009C01EA" w:rsidRDefault="009C01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30702" w14:textId="3FC8DF28" w:rsidR="009C01EA" w:rsidRPr="00704FC6" w:rsidRDefault="00163FEC" w:rsidP="00295F6E">
    <w:pPr>
      <w:pStyle w:val="Footer"/>
      <w:jc w:val="center"/>
      <w:rPr>
        <w:rFonts w:ascii="Tw Cen MT" w:hAnsi="Tw Cen MT"/>
      </w:rPr>
    </w:pPr>
    <w:r>
      <w:rPr>
        <w:rFonts w:ascii="Tw Cen MT" w:hAnsi="Tw Cen MT"/>
      </w:rPr>
      <w:t>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A174A" w14:textId="77777777" w:rsidR="001477B5" w:rsidRDefault="001477B5">
      <w:pPr>
        <w:spacing w:after="0"/>
      </w:pPr>
      <w:r>
        <w:separator/>
      </w:r>
    </w:p>
    <w:p w14:paraId="3A6C4DD2" w14:textId="77777777" w:rsidR="001477B5" w:rsidRDefault="001477B5"/>
    <w:p w14:paraId="67F24641" w14:textId="77777777" w:rsidR="001477B5" w:rsidRDefault="001477B5"/>
  </w:footnote>
  <w:footnote w:type="continuationSeparator" w:id="0">
    <w:p w14:paraId="074703E5" w14:textId="77777777" w:rsidR="001477B5" w:rsidRDefault="001477B5">
      <w:pPr>
        <w:spacing w:after="0"/>
      </w:pPr>
      <w:r>
        <w:continuationSeparator/>
      </w:r>
    </w:p>
    <w:p w14:paraId="4A6D1E11" w14:textId="77777777" w:rsidR="001477B5" w:rsidRDefault="001477B5"/>
    <w:p w14:paraId="57273CA7" w14:textId="77777777" w:rsidR="001477B5" w:rsidRDefault="001477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78409" w14:textId="77777777" w:rsidR="009C01EA" w:rsidRDefault="009C01EA">
    <w:pPr>
      <w:pStyle w:val="NoSpacing"/>
      <w:ind w:left="-218"/>
    </w:pPr>
  </w:p>
  <w:p w14:paraId="1990FE33" w14:textId="77777777" w:rsidR="009C01EA" w:rsidRDefault="009C01EA">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E4CD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C58E9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2E28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F66B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AC9B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2ADF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BEE8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92278F" w:themeColor="accent1"/>
      </w:rPr>
    </w:lvl>
  </w:abstractNum>
  <w:abstractNum w:abstractNumId="10" w15:restartNumberingAfterBreak="0">
    <w:nsid w:val="03F57A93"/>
    <w:multiLevelType w:val="multilevel"/>
    <w:tmpl w:val="1A462F72"/>
    <w:lvl w:ilvl="0">
      <w:numFmt w:val="bullet"/>
      <w:lvlText w:val="•"/>
      <w:lvlJc w:val="left"/>
      <w:pPr>
        <w:ind w:left="1080" w:hanging="720"/>
      </w:pPr>
      <w:rPr>
        <w:rFonts w:ascii="Trebuchet MS" w:eastAsiaTheme="minorHAnsi" w:hAnsi="Trebuchet MS"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40C6C5D"/>
    <w:multiLevelType w:val="hybridMultilevel"/>
    <w:tmpl w:val="E864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9B57D3"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0FC5809"/>
    <w:multiLevelType w:val="multilevel"/>
    <w:tmpl w:val="1CEE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EE226B"/>
    <w:multiLevelType w:val="hybridMultilevel"/>
    <w:tmpl w:val="1A462F72"/>
    <w:lvl w:ilvl="0" w:tplc="75ACE7D2">
      <w:numFmt w:val="bullet"/>
      <w:lvlText w:val="•"/>
      <w:lvlJc w:val="left"/>
      <w:pPr>
        <w:ind w:left="1080" w:hanging="72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A3142"/>
    <w:multiLevelType w:val="multilevel"/>
    <w:tmpl w:val="E562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E639A5"/>
    <w:multiLevelType w:val="multilevel"/>
    <w:tmpl w:val="6732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A72B67"/>
    <w:multiLevelType w:val="hybridMultilevel"/>
    <w:tmpl w:val="96DE2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46515D"/>
    <w:multiLevelType w:val="hybridMultilevel"/>
    <w:tmpl w:val="49E0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00F9C"/>
    <w:multiLevelType w:val="hybridMultilevel"/>
    <w:tmpl w:val="1D1AC194"/>
    <w:lvl w:ilvl="0" w:tplc="BE3A5196">
      <w:start w:val="1"/>
      <w:numFmt w:val="decimal"/>
      <w:lvlText w:val="%1."/>
      <w:lvlJc w:val="left"/>
      <w:pPr>
        <w:ind w:left="100" w:hanging="252"/>
        <w:jc w:val="right"/>
      </w:pPr>
      <w:rPr>
        <w:rFonts w:ascii="Calibri" w:eastAsia="Calibri" w:hAnsi="Calibri" w:hint="default"/>
        <w:b/>
        <w:bCs/>
        <w:w w:val="99"/>
        <w:sz w:val="24"/>
        <w:szCs w:val="24"/>
      </w:rPr>
    </w:lvl>
    <w:lvl w:ilvl="1" w:tplc="3B44F0D8">
      <w:start w:val="1"/>
      <w:numFmt w:val="decimal"/>
      <w:lvlText w:val="%2."/>
      <w:lvlJc w:val="left"/>
      <w:pPr>
        <w:ind w:left="820" w:hanging="360"/>
      </w:pPr>
      <w:rPr>
        <w:rFonts w:ascii="Calibri" w:eastAsia="Calibri" w:hAnsi="Calibri" w:hint="default"/>
        <w:sz w:val="24"/>
        <w:szCs w:val="24"/>
      </w:rPr>
    </w:lvl>
    <w:lvl w:ilvl="2" w:tplc="31D656D2">
      <w:start w:val="1"/>
      <w:numFmt w:val="bullet"/>
      <w:lvlText w:val="•"/>
      <w:lvlJc w:val="left"/>
      <w:pPr>
        <w:ind w:left="860" w:hanging="360"/>
      </w:pPr>
      <w:rPr>
        <w:rFonts w:hint="default"/>
      </w:rPr>
    </w:lvl>
    <w:lvl w:ilvl="3" w:tplc="2E3E8B16">
      <w:start w:val="1"/>
      <w:numFmt w:val="bullet"/>
      <w:lvlText w:val="•"/>
      <w:lvlJc w:val="left"/>
      <w:pPr>
        <w:ind w:left="940" w:hanging="360"/>
      </w:pPr>
      <w:rPr>
        <w:rFonts w:hint="default"/>
      </w:rPr>
    </w:lvl>
    <w:lvl w:ilvl="4" w:tplc="47ECAE2A">
      <w:start w:val="1"/>
      <w:numFmt w:val="bullet"/>
      <w:lvlText w:val="•"/>
      <w:lvlJc w:val="left"/>
      <w:pPr>
        <w:ind w:left="2203" w:hanging="360"/>
      </w:pPr>
      <w:rPr>
        <w:rFonts w:hint="default"/>
      </w:rPr>
    </w:lvl>
    <w:lvl w:ilvl="5" w:tplc="1D5E26B2">
      <w:start w:val="1"/>
      <w:numFmt w:val="bullet"/>
      <w:lvlText w:val="•"/>
      <w:lvlJc w:val="left"/>
      <w:pPr>
        <w:ind w:left="3466" w:hanging="360"/>
      </w:pPr>
      <w:rPr>
        <w:rFonts w:hint="default"/>
      </w:rPr>
    </w:lvl>
    <w:lvl w:ilvl="6" w:tplc="DDA0E0FA">
      <w:start w:val="1"/>
      <w:numFmt w:val="bullet"/>
      <w:lvlText w:val="•"/>
      <w:lvlJc w:val="left"/>
      <w:pPr>
        <w:ind w:left="4728" w:hanging="360"/>
      </w:pPr>
      <w:rPr>
        <w:rFonts w:hint="default"/>
      </w:rPr>
    </w:lvl>
    <w:lvl w:ilvl="7" w:tplc="7F22B0D2">
      <w:start w:val="1"/>
      <w:numFmt w:val="bullet"/>
      <w:lvlText w:val="•"/>
      <w:lvlJc w:val="left"/>
      <w:pPr>
        <w:ind w:left="5991" w:hanging="360"/>
      </w:pPr>
      <w:rPr>
        <w:rFonts w:hint="default"/>
      </w:rPr>
    </w:lvl>
    <w:lvl w:ilvl="8" w:tplc="06E278FE">
      <w:start w:val="1"/>
      <w:numFmt w:val="bullet"/>
      <w:lvlText w:val="•"/>
      <w:lvlJc w:val="left"/>
      <w:pPr>
        <w:ind w:left="7254" w:hanging="360"/>
      </w:pPr>
      <w:rPr>
        <w:rFonts w:hint="default"/>
      </w:rPr>
    </w:lvl>
  </w:abstractNum>
  <w:abstractNum w:abstractNumId="20" w15:restartNumberingAfterBreak="0">
    <w:nsid w:val="38B65030"/>
    <w:multiLevelType w:val="multilevel"/>
    <w:tmpl w:val="1CEE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A14452"/>
    <w:multiLevelType w:val="multilevel"/>
    <w:tmpl w:val="7272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A61692"/>
    <w:multiLevelType w:val="hybridMultilevel"/>
    <w:tmpl w:val="26B0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06A43"/>
    <w:multiLevelType w:val="multilevel"/>
    <w:tmpl w:val="1A462F72"/>
    <w:lvl w:ilvl="0">
      <w:numFmt w:val="bullet"/>
      <w:lvlText w:val="•"/>
      <w:lvlJc w:val="left"/>
      <w:pPr>
        <w:ind w:left="1080" w:hanging="720"/>
      </w:pPr>
      <w:rPr>
        <w:rFonts w:ascii="Trebuchet MS" w:eastAsiaTheme="minorHAnsi" w:hAnsi="Trebuchet MS"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42BE26DE"/>
    <w:multiLevelType w:val="multilevel"/>
    <w:tmpl w:val="BB2C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2364E4"/>
    <w:multiLevelType w:val="hybridMultilevel"/>
    <w:tmpl w:val="AA562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CA645D"/>
    <w:multiLevelType w:val="multilevel"/>
    <w:tmpl w:val="1254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631C95"/>
    <w:multiLevelType w:val="multilevel"/>
    <w:tmpl w:val="1A462F72"/>
    <w:lvl w:ilvl="0">
      <w:numFmt w:val="bullet"/>
      <w:lvlText w:val="•"/>
      <w:lvlJc w:val="left"/>
      <w:pPr>
        <w:ind w:left="1080" w:hanging="720"/>
      </w:pPr>
      <w:rPr>
        <w:rFonts w:ascii="Trebuchet MS" w:eastAsiaTheme="minorHAnsi" w:hAnsi="Trebuchet MS"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0">
    <w:nsid w:val="4FD14A6E"/>
    <w:multiLevelType w:val="hybridMultilevel"/>
    <w:tmpl w:val="1676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87B33"/>
    <w:multiLevelType w:val="multilevel"/>
    <w:tmpl w:val="1A462F72"/>
    <w:lvl w:ilvl="0">
      <w:numFmt w:val="bullet"/>
      <w:lvlText w:val="•"/>
      <w:lvlJc w:val="left"/>
      <w:pPr>
        <w:ind w:left="1080" w:hanging="720"/>
      </w:pPr>
      <w:rPr>
        <w:rFonts w:ascii="Trebuchet MS" w:eastAsiaTheme="minorHAnsi" w:hAnsi="Trebuchet MS"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15:restartNumberingAfterBreak="0">
    <w:nsid w:val="62AB13B4"/>
    <w:multiLevelType w:val="multilevel"/>
    <w:tmpl w:val="7E0AA62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781865"/>
    <w:multiLevelType w:val="multilevel"/>
    <w:tmpl w:val="0EEEF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C663A0"/>
    <w:multiLevelType w:val="hybridMultilevel"/>
    <w:tmpl w:val="632C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5533B7"/>
    <w:multiLevelType w:val="multilevel"/>
    <w:tmpl w:val="46F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944532"/>
    <w:multiLevelType w:val="hybridMultilevel"/>
    <w:tmpl w:val="B476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2C0024"/>
    <w:multiLevelType w:val="multilevel"/>
    <w:tmpl w:val="0AF2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EE0EA8"/>
    <w:multiLevelType w:val="hybridMultilevel"/>
    <w:tmpl w:val="E8628324"/>
    <w:lvl w:ilvl="0" w:tplc="5CF0D606">
      <w:start w:val="1"/>
      <w:numFmt w:val="bullet"/>
      <w:lvlText w:val=""/>
      <w:lvlJc w:val="left"/>
      <w:pPr>
        <w:ind w:left="860" w:hanging="360"/>
      </w:pPr>
      <w:rPr>
        <w:rFonts w:ascii="Symbol" w:eastAsia="Symbol" w:hAnsi="Symbol" w:hint="default"/>
        <w:sz w:val="24"/>
        <w:szCs w:val="24"/>
      </w:rPr>
    </w:lvl>
    <w:lvl w:ilvl="1" w:tplc="43B4AB36">
      <w:start w:val="1"/>
      <w:numFmt w:val="bullet"/>
      <w:lvlText w:val="•"/>
      <w:lvlJc w:val="left"/>
      <w:pPr>
        <w:ind w:left="1756" w:hanging="360"/>
      </w:pPr>
      <w:rPr>
        <w:rFonts w:hint="default"/>
      </w:rPr>
    </w:lvl>
    <w:lvl w:ilvl="2" w:tplc="DC6E1E50">
      <w:start w:val="1"/>
      <w:numFmt w:val="bullet"/>
      <w:lvlText w:val="•"/>
      <w:lvlJc w:val="left"/>
      <w:pPr>
        <w:ind w:left="2652" w:hanging="360"/>
      </w:pPr>
      <w:rPr>
        <w:rFonts w:hint="default"/>
      </w:rPr>
    </w:lvl>
    <w:lvl w:ilvl="3" w:tplc="6D3895E0">
      <w:start w:val="1"/>
      <w:numFmt w:val="bullet"/>
      <w:lvlText w:val="•"/>
      <w:lvlJc w:val="left"/>
      <w:pPr>
        <w:ind w:left="3548" w:hanging="360"/>
      </w:pPr>
      <w:rPr>
        <w:rFonts w:hint="default"/>
      </w:rPr>
    </w:lvl>
    <w:lvl w:ilvl="4" w:tplc="5506488A">
      <w:start w:val="1"/>
      <w:numFmt w:val="bullet"/>
      <w:lvlText w:val="•"/>
      <w:lvlJc w:val="left"/>
      <w:pPr>
        <w:ind w:left="4444" w:hanging="360"/>
      </w:pPr>
      <w:rPr>
        <w:rFonts w:hint="default"/>
      </w:rPr>
    </w:lvl>
    <w:lvl w:ilvl="5" w:tplc="413E334C">
      <w:start w:val="1"/>
      <w:numFmt w:val="bullet"/>
      <w:lvlText w:val="•"/>
      <w:lvlJc w:val="left"/>
      <w:pPr>
        <w:ind w:left="5340" w:hanging="360"/>
      </w:pPr>
      <w:rPr>
        <w:rFonts w:hint="default"/>
      </w:rPr>
    </w:lvl>
    <w:lvl w:ilvl="6" w:tplc="5A06F784">
      <w:start w:val="1"/>
      <w:numFmt w:val="bullet"/>
      <w:lvlText w:val="•"/>
      <w:lvlJc w:val="left"/>
      <w:pPr>
        <w:ind w:left="6236" w:hanging="360"/>
      </w:pPr>
      <w:rPr>
        <w:rFonts w:hint="default"/>
      </w:rPr>
    </w:lvl>
    <w:lvl w:ilvl="7" w:tplc="0858932E">
      <w:start w:val="1"/>
      <w:numFmt w:val="bullet"/>
      <w:lvlText w:val="•"/>
      <w:lvlJc w:val="left"/>
      <w:pPr>
        <w:ind w:left="7132" w:hanging="360"/>
      </w:pPr>
      <w:rPr>
        <w:rFonts w:hint="default"/>
      </w:rPr>
    </w:lvl>
    <w:lvl w:ilvl="8" w:tplc="C94E5300">
      <w:start w:val="1"/>
      <w:numFmt w:val="bullet"/>
      <w:lvlText w:val="•"/>
      <w:lvlJc w:val="left"/>
      <w:pPr>
        <w:ind w:left="8028" w:hanging="360"/>
      </w:pPr>
      <w:rPr>
        <w:rFonts w:hint="default"/>
      </w:rPr>
    </w:lvl>
  </w:abstractNum>
  <w:num w:numId="1">
    <w:abstractNumId w:val="9"/>
  </w:num>
  <w:num w:numId="2">
    <w:abstractNumId w:val="9"/>
  </w:num>
  <w:num w:numId="3">
    <w:abstractNumId w:val="8"/>
  </w:num>
  <w:num w:numId="4">
    <w:abstractNumId w:val="8"/>
    <w:lvlOverride w:ilvl="0">
      <w:startOverride w:val="1"/>
    </w:lvlOverride>
  </w:num>
  <w:num w:numId="5">
    <w:abstractNumId w:val="7"/>
  </w:num>
  <w:num w:numId="6">
    <w:abstractNumId w:val="9"/>
  </w:num>
  <w:num w:numId="7">
    <w:abstractNumId w:val="12"/>
  </w:num>
  <w:num w:numId="8">
    <w:abstractNumId w:val="35"/>
  </w:num>
  <w:num w:numId="9">
    <w:abstractNumId w:val="28"/>
  </w:num>
  <w:num w:numId="10">
    <w:abstractNumId w:val="17"/>
  </w:num>
  <w:num w:numId="11">
    <w:abstractNumId w:val="22"/>
  </w:num>
  <w:num w:numId="12">
    <w:abstractNumId w:val="11"/>
  </w:num>
  <w:num w:numId="13">
    <w:abstractNumId w:val="30"/>
  </w:num>
  <w:num w:numId="14">
    <w:abstractNumId w:val="20"/>
  </w:num>
  <w:num w:numId="15">
    <w:abstractNumId w:val="13"/>
  </w:num>
  <w:num w:numId="16">
    <w:abstractNumId w:val="14"/>
  </w:num>
  <w:num w:numId="17">
    <w:abstractNumId w:val="27"/>
  </w:num>
  <w:num w:numId="18">
    <w:abstractNumId w:val="23"/>
  </w:num>
  <w:num w:numId="19">
    <w:abstractNumId w:val="29"/>
  </w:num>
  <w:num w:numId="20">
    <w:abstractNumId w:val="21"/>
  </w:num>
  <w:num w:numId="21">
    <w:abstractNumId w:val="33"/>
  </w:num>
  <w:num w:numId="22">
    <w:abstractNumId w:val="26"/>
  </w:num>
  <w:num w:numId="23">
    <w:abstractNumId w:val="10"/>
  </w:num>
  <w:num w:numId="24">
    <w:abstractNumId w:val="31"/>
  </w:num>
  <w:num w:numId="25">
    <w:abstractNumId w:val="18"/>
  </w:num>
  <w:num w:numId="26">
    <w:abstractNumId w:val="24"/>
  </w:num>
  <w:num w:numId="27">
    <w:abstractNumId w:val="16"/>
  </w:num>
  <w:num w:numId="28">
    <w:abstractNumId w:val="19"/>
  </w:num>
  <w:num w:numId="29">
    <w:abstractNumId w:val="36"/>
  </w:num>
  <w:num w:numId="30">
    <w:abstractNumId w:val="25"/>
  </w:num>
  <w:num w:numId="31">
    <w:abstractNumId w:val="34"/>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num>
  <w:num w:numId="39">
    <w:abstractNumId w:val="3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D2B"/>
    <w:rsid w:val="0001065E"/>
    <w:rsid w:val="00021A5C"/>
    <w:rsid w:val="000338E9"/>
    <w:rsid w:val="000677A0"/>
    <w:rsid w:val="00090933"/>
    <w:rsid w:val="00093C14"/>
    <w:rsid w:val="000A1236"/>
    <w:rsid w:val="000C7517"/>
    <w:rsid w:val="00102EE5"/>
    <w:rsid w:val="0010720D"/>
    <w:rsid w:val="001319FE"/>
    <w:rsid w:val="001477B5"/>
    <w:rsid w:val="00163FEC"/>
    <w:rsid w:val="001774BE"/>
    <w:rsid w:val="001858B7"/>
    <w:rsid w:val="00187C96"/>
    <w:rsid w:val="001C699E"/>
    <w:rsid w:val="001E446E"/>
    <w:rsid w:val="001F06A4"/>
    <w:rsid w:val="001F3F1D"/>
    <w:rsid w:val="0021572A"/>
    <w:rsid w:val="00223915"/>
    <w:rsid w:val="0025631A"/>
    <w:rsid w:val="00260A7E"/>
    <w:rsid w:val="00295F6E"/>
    <w:rsid w:val="002C0782"/>
    <w:rsid w:val="002C762B"/>
    <w:rsid w:val="0030692B"/>
    <w:rsid w:val="00370AD0"/>
    <w:rsid w:val="00374E1B"/>
    <w:rsid w:val="003A42AE"/>
    <w:rsid w:val="003C7C0F"/>
    <w:rsid w:val="003E1B73"/>
    <w:rsid w:val="004116FD"/>
    <w:rsid w:val="00471AB8"/>
    <w:rsid w:val="0049490F"/>
    <w:rsid w:val="004C21EF"/>
    <w:rsid w:val="004E5FBC"/>
    <w:rsid w:val="005169A5"/>
    <w:rsid w:val="00536191"/>
    <w:rsid w:val="0056115D"/>
    <w:rsid w:val="005619C0"/>
    <w:rsid w:val="005A52E0"/>
    <w:rsid w:val="005E3764"/>
    <w:rsid w:val="00603627"/>
    <w:rsid w:val="0066700D"/>
    <w:rsid w:val="00680B19"/>
    <w:rsid w:val="006C0B61"/>
    <w:rsid w:val="006D2EB6"/>
    <w:rsid w:val="006F0D2B"/>
    <w:rsid w:val="00704FC6"/>
    <w:rsid w:val="00724167"/>
    <w:rsid w:val="00741DE9"/>
    <w:rsid w:val="007637C8"/>
    <w:rsid w:val="00795E6E"/>
    <w:rsid w:val="00797CD0"/>
    <w:rsid w:val="007B33E1"/>
    <w:rsid w:val="00807B44"/>
    <w:rsid w:val="00865937"/>
    <w:rsid w:val="008B48F6"/>
    <w:rsid w:val="008C628F"/>
    <w:rsid w:val="008E63FF"/>
    <w:rsid w:val="008F7908"/>
    <w:rsid w:val="00945A8B"/>
    <w:rsid w:val="00963F37"/>
    <w:rsid w:val="009900CA"/>
    <w:rsid w:val="00992134"/>
    <w:rsid w:val="009C01EA"/>
    <w:rsid w:val="00A813D2"/>
    <w:rsid w:val="00A943A1"/>
    <w:rsid w:val="00AD6C52"/>
    <w:rsid w:val="00B10BA3"/>
    <w:rsid w:val="00B12247"/>
    <w:rsid w:val="00B269E8"/>
    <w:rsid w:val="00B305AD"/>
    <w:rsid w:val="00B32EF7"/>
    <w:rsid w:val="00B53CCB"/>
    <w:rsid w:val="00BA36DB"/>
    <w:rsid w:val="00BD4971"/>
    <w:rsid w:val="00BF0972"/>
    <w:rsid w:val="00C1047F"/>
    <w:rsid w:val="00CA2AEC"/>
    <w:rsid w:val="00CB2D71"/>
    <w:rsid w:val="00CC440D"/>
    <w:rsid w:val="00CE50D7"/>
    <w:rsid w:val="00D076FB"/>
    <w:rsid w:val="00D10237"/>
    <w:rsid w:val="00D43652"/>
    <w:rsid w:val="00D877F6"/>
    <w:rsid w:val="00D94C49"/>
    <w:rsid w:val="00DB3B45"/>
    <w:rsid w:val="00DC2A7E"/>
    <w:rsid w:val="00DF721F"/>
    <w:rsid w:val="00E1255E"/>
    <w:rsid w:val="00E22819"/>
    <w:rsid w:val="00E61CC5"/>
    <w:rsid w:val="00E938FB"/>
    <w:rsid w:val="00EE4C31"/>
    <w:rsid w:val="00F07B54"/>
    <w:rsid w:val="00F21B5C"/>
    <w:rsid w:val="00F37F31"/>
    <w:rsid w:val="00F648FD"/>
    <w:rsid w:val="00FA5CC4"/>
    <w:rsid w:val="00FB304B"/>
    <w:rsid w:val="00FC255C"/>
    <w:rsid w:val="00FC6847"/>
    <w:rsid w:val="00FF79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28CD3EB"/>
  <w15:docId w15:val="{B4CDAF34-E10F-4782-B9E0-3B8664B9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5AD"/>
  </w:style>
  <w:style w:type="paragraph" w:styleId="Heading1">
    <w:name w:val="heading 1"/>
    <w:basedOn w:val="Normal"/>
    <w:next w:val="Normal"/>
    <w:link w:val="Heading1Char"/>
    <w:uiPriority w:val="9"/>
    <w:qFormat/>
    <w:rsid w:val="00704FC6"/>
    <w:pPr>
      <w:keepNext/>
      <w:keepLines/>
      <w:pBdr>
        <w:bottom w:val="single" w:sz="4" w:space="1" w:color="92278F" w:themeColor="accent1"/>
      </w:pBdr>
      <w:spacing w:before="400" w:after="40" w:line="240" w:lineRule="auto"/>
      <w:outlineLvl w:val="0"/>
    </w:pPr>
    <w:rPr>
      <w:rFonts w:asciiTheme="majorHAnsi" w:eastAsiaTheme="majorEastAsia" w:hAnsiTheme="majorHAnsi" w:cstheme="majorBidi"/>
      <w:color w:val="6D1D6A" w:themeColor="accent1" w:themeShade="BF"/>
      <w:sz w:val="36"/>
      <w:szCs w:val="36"/>
    </w:rPr>
  </w:style>
  <w:style w:type="paragraph" w:styleId="Heading2">
    <w:name w:val="heading 2"/>
    <w:basedOn w:val="Normal"/>
    <w:next w:val="Normal"/>
    <w:link w:val="Heading2Char"/>
    <w:uiPriority w:val="9"/>
    <w:unhideWhenUsed/>
    <w:qFormat/>
    <w:rsid w:val="00704FC6"/>
    <w:pPr>
      <w:keepNext/>
      <w:keepLines/>
      <w:spacing w:before="160" w:after="0" w:line="240" w:lineRule="auto"/>
      <w:outlineLvl w:val="1"/>
    </w:pPr>
    <w:rPr>
      <w:rFonts w:asciiTheme="majorHAnsi" w:eastAsiaTheme="majorEastAsia" w:hAnsiTheme="majorHAnsi" w:cstheme="majorBidi"/>
      <w:color w:val="6D1D6A" w:themeColor="accent1" w:themeShade="BF"/>
      <w:sz w:val="28"/>
      <w:szCs w:val="28"/>
    </w:rPr>
  </w:style>
  <w:style w:type="paragraph" w:styleId="Heading3">
    <w:name w:val="heading 3"/>
    <w:basedOn w:val="Normal"/>
    <w:next w:val="Normal"/>
    <w:link w:val="Heading3Char"/>
    <w:uiPriority w:val="9"/>
    <w:unhideWhenUsed/>
    <w:qFormat/>
    <w:rsid w:val="00704F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704FC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704FC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704FC6"/>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04F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04F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04F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4FC6"/>
    <w:pPr>
      <w:spacing w:after="0" w:line="240" w:lineRule="auto"/>
      <w:contextualSpacing/>
    </w:pPr>
    <w:rPr>
      <w:rFonts w:asciiTheme="majorHAnsi" w:eastAsiaTheme="majorEastAsia" w:hAnsiTheme="majorHAnsi" w:cstheme="majorBidi"/>
      <w:color w:val="6D1D6A" w:themeColor="accent1" w:themeShade="BF"/>
      <w:spacing w:val="-7"/>
      <w:sz w:val="80"/>
      <w:szCs w:val="80"/>
    </w:rPr>
  </w:style>
  <w:style w:type="character" w:customStyle="1" w:styleId="TitleChar">
    <w:name w:val="Title Char"/>
    <w:basedOn w:val="DefaultParagraphFont"/>
    <w:link w:val="Title"/>
    <w:uiPriority w:val="10"/>
    <w:rsid w:val="00704FC6"/>
    <w:rPr>
      <w:rFonts w:asciiTheme="majorHAnsi" w:eastAsiaTheme="majorEastAsia" w:hAnsiTheme="majorHAnsi" w:cstheme="majorBidi"/>
      <w:color w:val="6D1D6A" w:themeColor="accent1" w:themeShade="BF"/>
      <w:spacing w:val="-7"/>
      <w:sz w:val="80"/>
      <w:szCs w:val="80"/>
    </w:rPr>
  </w:style>
  <w:style w:type="paragraph" w:styleId="Subtitle">
    <w:name w:val="Subtitle"/>
    <w:basedOn w:val="Normal"/>
    <w:next w:val="Normal"/>
    <w:link w:val="SubtitleChar"/>
    <w:uiPriority w:val="11"/>
    <w:qFormat/>
    <w:rsid w:val="00704F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704FC6"/>
    <w:rPr>
      <w:rFonts w:asciiTheme="majorHAnsi" w:eastAsiaTheme="majorEastAsia" w:hAnsiTheme="majorHAnsi" w:cstheme="majorBidi"/>
      <w:color w:val="404040" w:themeColor="text1" w:themeTint="BF"/>
      <w:sz w:val="30"/>
      <w:szCs w:val="30"/>
    </w:rPr>
  </w:style>
  <w:style w:type="character" w:customStyle="1" w:styleId="Heading1Char">
    <w:name w:val="Heading 1 Char"/>
    <w:basedOn w:val="DefaultParagraphFont"/>
    <w:link w:val="Heading1"/>
    <w:uiPriority w:val="9"/>
    <w:rsid w:val="00704FC6"/>
    <w:rPr>
      <w:rFonts w:asciiTheme="majorHAnsi" w:eastAsiaTheme="majorEastAsia" w:hAnsiTheme="majorHAnsi" w:cstheme="majorBidi"/>
      <w:color w:val="6D1D6A" w:themeColor="accent1" w:themeShade="BF"/>
      <w:sz w:val="36"/>
      <w:szCs w:val="36"/>
    </w:rPr>
  </w:style>
  <w:style w:type="paragraph" w:styleId="Caption">
    <w:name w:val="caption"/>
    <w:basedOn w:val="Normal"/>
    <w:next w:val="Normal"/>
    <w:uiPriority w:val="35"/>
    <w:unhideWhenUsed/>
    <w:qFormat/>
    <w:rsid w:val="00704FC6"/>
    <w:pPr>
      <w:spacing w:line="240" w:lineRule="auto"/>
    </w:pPr>
    <w:rPr>
      <w:b/>
      <w:bCs/>
      <w:color w:val="404040" w:themeColor="text1" w:themeTint="BF"/>
      <w:sz w:val="20"/>
      <w:szCs w:val="20"/>
    </w:rPr>
  </w:style>
  <w:style w:type="character" w:customStyle="1" w:styleId="Heading2Char">
    <w:name w:val="Heading 2 Char"/>
    <w:basedOn w:val="DefaultParagraphFont"/>
    <w:link w:val="Heading2"/>
    <w:uiPriority w:val="9"/>
    <w:rsid w:val="00704FC6"/>
    <w:rPr>
      <w:rFonts w:asciiTheme="majorHAnsi" w:eastAsiaTheme="majorEastAsia" w:hAnsiTheme="majorHAnsi" w:cstheme="majorBidi"/>
      <w:color w:val="6D1D6A" w:themeColor="accent1" w:themeShade="BF"/>
      <w:sz w:val="28"/>
      <w:szCs w:val="28"/>
    </w:rPr>
  </w:style>
  <w:style w:type="character" w:styleId="Emphasis">
    <w:name w:val="Emphasis"/>
    <w:basedOn w:val="DefaultParagraphFont"/>
    <w:uiPriority w:val="20"/>
    <w:qFormat/>
    <w:rsid w:val="00704FC6"/>
    <w:rPr>
      <w:i/>
      <w:iCs/>
    </w:rPr>
  </w:style>
  <w:style w:type="character" w:customStyle="1" w:styleId="Heading3Char">
    <w:name w:val="Heading 3 Char"/>
    <w:basedOn w:val="DefaultParagraphFont"/>
    <w:link w:val="Heading3"/>
    <w:uiPriority w:val="9"/>
    <w:rsid w:val="00704FC6"/>
    <w:rPr>
      <w:rFonts w:asciiTheme="majorHAnsi" w:eastAsiaTheme="majorEastAsia" w:hAnsiTheme="majorHAnsi" w:cstheme="majorBidi"/>
      <w:color w:val="404040" w:themeColor="text1" w:themeTint="BF"/>
      <w:sz w:val="26"/>
      <w:szCs w:val="26"/>
    </w:rPr>
  </w:style>
  <w:style w:type="character" w:styleId="PageNumber">
    <w:name w:val="page number"/>
    <w:basedOn w:val="DefaultParagraphFont"/>
    <w:uiPriority w:val="99"/>
    <w:rPr>
      <w:rFonts w:asciiTheme="minorHAnsi" w:hAnsiTheme="minorHAnsi"/>
      <w:color w:val="92278F" w:themeColor="accent1"/>
      <w:sz w:val="20"/>
    </w:rPr>
  </w:style>
  <w:style w:type="paragraph" w:styleId="Header">
    <w:name w:val="header"/>
    <w:basedOn w:val="Normal"/>
    <w:link w:val="HeaderChar"/>
    <w:uiPriority w:val="99"/>
    <w:pPr>
      <w:spacing w:after="60"/>
    </w:pPr>
    <w:rPr>
      <w:caps/>
      <w:color w:val="92278F" w:themeColor="accent1"/>
      <w:sz w:val="20"/>
    </w:rPr>
  </w:style>
  <w:style w:type="character" w:customStyle="1" w:styleId="HeaderChar">
    <w:name w:val="Header Char"/>
    <w:basedOn w:val="DefaultParagraphFont"/>
    <w:link w:val="Header"/>
    <w:uiPriority w:val="99"/>
    <w:rPr>
      <w:caps/>
      <w:color w:val="92278F" w:themeColor="accent1"/>
      <w:sz w:val="20"/>
    </w:rPr>
  </w:style>
  <w:style w:type="paragraph" w:customStyle="1" w:styleId="Name">
    <w:name w:val="Name"/>
    <w:basedOn w:val="Normal"/>
    <w:rPr>
      <w:color w:val="404040" w:themeColor="text1" w:themeTint="BF"/>
      <w:sz w:val="22"/>
    </w:rPr>
  </w:style>
  <w:style w:type="paragraph" w:customStyle="1" w:styleId="SidebarTableText">
    <w:name w:val="Sidebar Table Text"/>
    <w:basedOn w:val="Normal"/>
    <w:rPr>
      <w:sz w:val="16"/>
    </w:rPr>
  </w:style>
  <w:style w:type="character" w:customStyle="1" w:styleId="Heading4Char">
    <w:name w:val="Heading 4 Char"/>
    <w:basedOn w:val="DefaultParagraphFont"/>
    <w:link w:val="Heading4"/>
    <w:uiPriority w:val="9"/>
    <w:rsid w:val="00704FC6"/>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704FC6"/>
    <w:rPr>
      <w:rFonts w:asciiTheme="majorHAnsi" w:eastAsiaTheme="majorEastAsia" w:hAnsiTheme="majorHAnsi" w:cstheme="majorBidi"/>
      <w:i/>
      <w:iCs/>
      <w:sz w:val="22"/>
      <w:szCs w:val="22"/>
    </w:rPr>
  </w:style>
  <w:style w:type="paragraph" w:customStyle="1" w:styleId="ContactInfo">
    <w:name w:val="Contact Info"/>
    <w:basedOn w:val="Normal"/>
    <w:rPr>
      <w:color w:val="808080" w:themeColor="background1" w:themeShade="80"/>
      <w:sz w:val="16"/>
      <w:lang w:val="fr-FR"/>
    </w:rPr>
  </w:style>
  <w:style w:type="paragraph" w:customStyle="1" w:styleId="Caption2">
    <w:name w:val="Caption 2"/>
    <w:basedOn w:val="Normal"/>
    <w:pPr>
      <w:spacing w:after="0"/>
    </w:pPr>
    <w:rPr>
      <w:i/>
      <w:color w:val="7F7F7F" w:themeColor="text1" w:themeTint="80"/>
      <w:sz w:val="16"/>
    </w:rPr>
  </w:style>
  <w:style w:type="paragraph" w:customStyle="1" w:styleId="Callout">
    <w:name w:val="Callout"/>
    <w:basedOn w:val="Normal"/>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pPr>
      <w:ind w:left="-216" w:right="-144"/>
    </w:pPr>
    <w:rPr>
      <w:sz w:val="16"/>
    </w:rPr>
  </w:style>
  <w:style w:type="character" w:customStyle="1" w:styleId="Heading6Char">
    <w:name w:val="Heading 6 Char"/>
    <w:basedOn w:val="DefaultParagraphFont"/>
    <w:link w:val="Heading6"/>
    <w:uiPriority w:val="9"/>
    <w:rsid w:val="00704FC6"/>
    <w:rPr>
      <w:rFonts w:asciiTheme="majorHAnsi" w:eastAsiaTheme="majorEastAsia" w:hAnsiTheme="majorHAnsi" w:cstheme="majorBidi"/>
      <w:color w:val="595959" w:themeColor="text1" w:themeTint="A6"/>
    </w:rPr>
  </w:style>
  <w:style w:type="paragraph" w:customStyle="1" w:styleId="Title-Back">
    <w:name w:val="Title-Back"/>
    <w:basedOn w:val="Normal"/>
    <w:pPr>
      <w:spacing w:before="120" w:after="0"/>
      <w:jc w:val="right"/>
    </w:pPr>
    <w:rPr>
      <w:rFonts w:asciiTheme="majorHAnsi" w:hAnsiTheme="majorHAnsi"/>
      <w:color w:val="FFFFFF" w:themeColor="background1"/>
      <w:sz w:val="56"/>
    </w:rPr>
  </w:style>
  <w:style w:type="paragraph" w:customStyle="1" w:styleId="Subtitle-Back">
    <w:name w:val="Subtitle-Back"/>
    <w:basedOn w:val="Normal"/>
    <w:pPr>
      <w:spacing w:after="1200"/>
      <w:jc w:val="right"/>
    </w:pPr>
    <w:rPr>
      <w:rFonts w:asciiTheme="majorHAnsi" w:hAnsiTheme="majorHAnsi"/>
      <w:color w:val="FFFFFF" w:themeColor="background1"/>
      <w:sz w:val="44"/>
    </w:rPr>
  </w:style>
  <w:style w:type="paragraph" w:customStyle="1" w:styleId="ReturnAddress">
    <w:name w:val="Return Address"/>
    <w:basedOn w:val="Normal"/>
    <w:pPr>
      <w:spacing w:after="240"/>
      <w:jc w:val="right"/>
    </w:pPr>
    <w:rPr>
      <w:color w:val="FFFFFF" w:themeColor="background1"/>
      <w:sz w:val="22"/>
    </w:rPr>
  </w:style>
  <w:style w:type="paragraph" w:customStyle="1" w:styleId="Address">
    <w:name w:val="Address"/>
    <w:basedOn w:val="Normal"/>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04FC6"/>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pPr>
      <w:jc w:val="right"/>
    </w:pPr>
    <w:rPr>
      <w:caps w:val="0"/>
      <w:color w:val="808080" w:themeColor="background1" w:themeShade="80"/>
    </w:rPr>
  </w:style>
  <w:style w:type="paragraph" w:styleId="NormalWeb">
    <w:name w:val="Normal (Web)"/>
    <w:basedOn w:val="Normal"/>
    <w:uiPriority w:val="99"/>
    <w:unhideWhenUsed/>
    <w:pPr>
      <w:spacing w:after="210" w:line="210" w:lineRule="atLeast"/>
      <w:jc w:val="both"/>
    </w:pPr>
    <w:rPr>
      <w:rFonts w:ascii="Times New Roman" w:eastAsia="Times New Roman" w:hAnsi="Times New Roman" w:cs="Times New Roman"/>
      <w:sz w:val="17"/>
      <w:szCs w:val="17"/>
    </w:rPr>
  </w:style>
  <w:style w:type="paragraph" w:customStyle="1" w:styleId="Sidebarphoto">
    <w:name w:val="Sidebar photo"/>
    <w:basedOn w:val="Normal"/>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666699" w:themeColor="followedHyperlink"/>
      <w:u w:val="single"/>
    </w:rPr>
  </w:style>
  <w:style w:type="character" w:styleId="Hyperlink">
    <w:name w:val="Hyperlink"/>
    <w:basedOn w:val="DefaultParagraphFont"/>
    <w:uiPriority w:val="99"/>
    <w:unhideWhenUsed/>
    <w:rPr>
      <w:color w:val="0066FF"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ind w:left="360"/>
    </w:pPr>
  </w:style>
  <w:style w:type="paragraph" w:customStyle="1" w:styleId="PageReference">
    <w:name w:val="Page Reference"/>
    <w:basedOn w:val="Normal"/>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pPr>
      <w:spacing w:after="80"/>
      <w:ind w:left="-216"/>
    </w:pPr>
    <w:rPr>
      <w:rFonts w:asciiTheme="majorHAnsi" w:hAnsiTheme="majorHAnsi"/>
      <w:color w:val="595959" w:themeColor="text1" w:themeTint="A6"/>
      <w:sz w:val="24"/>
    </w:rPr>
  </w:style>
  <w:style w:type="character" w:styleId="Strong">
    <w:name w:val="Strong"/>
    <w:basedOn w:val="DefaultParagraphFont"/>
    <w:uiPriority w:val="22"/>
    <w:qFormat/>
    <w:rsid w:val="00704FC6"/>
    <w:rPr>
      <w:b/>
      <w:bCs/>
    </w:rPr>
  </w:style>
  <w:style w:type="paragraph" w:customStyle="1" w:styleId="HeaderSpace">
    <w:name w:val="Header Space"/>
    <w:basedOn w:val="Normal"/>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pPr>
      <w:spacing w:before="120" w:after="0"/>
      <w:ind w:left="-216" w:right="-144"/>
    </w:pPr>
    <w:rPr>
      <w:rFonts w:asciiTheme="majorHAnsi" w:hAnsiTheme="majorHAnsi"/>
      <w:color w:val="92278F" w:themeColor="accent1"/>
      <w:sz w:val="24"/>
      <w:szCs w:val="24"/>
    </w:rPr>
  </w:style>
  <w:style w:type="paragraph" w:customStyle="1" w:styleId="SidebarPhoto0">
    <w:name w:val="Sidebar Photo"/>
    <w:basedOn w:val="Normal"/>
    <w:pPr>
      <w:spacing w:after="0"/>
      <w:ind w:left="-317"/>
    </w:pPr>
    <w:rPr>
      <w:noProof/>
      <w:sz w:val="12"/>
    </w:rPr>
  </w:style>
  <w:style w:type="paragraph" w:styleId="ListParagraph">
    <w:name w:val="List Paragraph"/>
    <w:basedOn w:val="Normal"/>
    <w:uiPriority w:val="34"/>
    <w:qFormat/>
    <w:rsid w:val="00471AB8"/>
    <w:pPr>
      <w:ind w:left="720"/>
      <w:contextualSpacing/>
    </w:pPr>
  </w:style>
  <w:style w:type="character" w:customStyle="1" w:styleId="NoSpacingChar">
    <w:name w:val="No Spacing Char"/>
    <w:basedOn w:val="DefaultParagraphFont"/>
    <w:link w:val="NoSpacing"/>
    <w:uiPriority w:val="1"/>
    <w:rsid w:val="00680B19"/>
  </w:style>
  <w:style w:type="character" w:customStyle="1" w:styleId="bold">
    <w:name w:val="bold"/>
    <w:basedOn w:val="DefaultParagraphFont"/>
    <w:rsid w:val="00DF721F"/>
  </w:style>
  <w:style w:type="paragraph" w:customStyle="1" w:styleId="content">
    <w:name w:val="content"/>
    <w:basedOn w:val="Normal"/>
    <w:rsid w:val="00DF721F"/>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9C01EA"/>
  </w:style>
  <w:style w:type="paragraph" w:styleId="TOCHeading">
    <w:name w:val="TOC Heading"/>
    <w:basedOn w:val="Heading1"/>
    <w:next w:val="Normal"/>
    <w:uiPriority w:val="39"/>
    <w:unhideWhenUsed/>
    <w:qFormat/>
    <w:rsid w:val="00704FC6"/>
    <w:pPr>
      <w:outlineLvl w:val="9"/>
    </w:pPr>
  </w:style>
  <w:style w:type="paragraph" w:styleId="TOC1">
    <w:name w:val="toc 1"/>
    <w:basedOn w:val="Normal"/>
    <w:next w:val="Normal"/>
    <w:autoRedefine/>
    <w:uiPriority w:val="39"/>
    <w:unhideWhenUsed/>
    <w:rsid w:val="008E63FF"/>
    <w:pPr>
      <w:spacing w:after="100"/>
    </w:pPr>
  </w:style>
  <w:style w:type="paragraph" w:styleId="TOC2">
    <w:name w:val="toc 2"/>
    <w:basedOn w:val="Normal"/>
    <w:next w:val="Normal"/>
    <w:autoRedefine/>
    <w:uiPriority w:val="39"/>
    <w:unhideWhenUsed/>
    <w:rsid w:val="008E63FF"/>
    <w:pPr>
      <w:spacing w:after="100"/>
      <w:ind w:left="180"/>
    </w:pPr>
  </w:style>
  <w:style w:type="paragraph" w:styleId="TOC3">
    <w:name w:val="toc 3"/>
    <w:basedOn w:val="Normal"/>
    <w:next w:val="Normal"/>
    <w:autoRedefine/>
    <w:uiPriority w:val="39"/>
    <w:unhideWhenUsed/>
    <w:rsid w:val="008E63FF"/>
    <w:pPr>
      <w:spacing w:after="100"/>
      <w:ind w:left="360"/>
    </w:pPr>
  </w:style>
  <w:style w:type="paragraph" w:styleId="BodyText">
    <w:name w:val="Body Text"/>
    <w:basedOn w:val="Normal"/>
    <w:link w:val="BodyTextChar"/>
    <w:uiPriority w:val="1"/>
    <w:rsid w:val="00B12247"/>
    <w:pPr>
      <w:widowControl w:val="0"/>
      <w:spacing w:after="0"/>
      <w:ind w:left="140"/>
    </w:pPr>
    <w:rPr>
      <w:rFonts w:ascii="Calibri" w:eastAsia="Calibri" w:hAnsi="Calibri"/>
      <w:sz w:val="24"/>
      <w:szCs w:val="24"/>
    </w:rPr>
  </w:style>
  <w:style w:type="character" w:customStyle="1" w:styleId="BodyTextChar">
    <w:name w:val="Body Text Char"/>
    <w:basedOn w:val="DefaultParagraphFont"/>
    <w:link w:val="BodyText"/>
    <w:uiPriority w:val="1"/>
    <w:rsid w:val="00B12247"/>
    <w:rPr>
      <w:rFonts w:ascii="Calibri" w:eastAsia="Calibri" w:hAnsi="Calibri"/>
      <w:sz w:val="24"/>
      <w:szCs w:val="24"/>
    </w:rPr>
  </w:style>
  <w:style w:type="paragraph" w:customStyle="1" w:styleId="pagetitle">
    <w:name w:val="pagetitle"/>
    <w:basedOn w:val="Normal"/>
    <w:rsid w:val="00F37F31"/>
    <w:pPr>
      <w:spacing w:before="100" w:beforeAutospacing="1" w:after="100" w:afterAutospacing="1"/>
    </w:pPr>
    <w:rPr>
      <w:rFonts w:ascii="Times New Roman" w:eastAsia="Times New Roman" w:hAnsi="Times New Roman" w:cs="Times New Roman"/>
      <w:sz w:val="24"/>
      <w:szCs w:val="24"/>
    </w:rPr>
  </w:style>
  <w:style w:type="character" w:customStyle="1" w:styleId="Header1">
    <w:name w:val="Header1"/>
    <w:basedOn w:val="DefaultParagraphFont"/>
    <w:rsid w:val="00F37F31"/>
  </w:style>
  <w:style w:type="character" w:customStyle="1" w:styleId="Heading7Char">
    <w:name w:val="Heading 7 Char"/>
    <w:basedOn w:val="DefaultParagraphFont"/>
    <w:link w:val="Heading7"/>
    <w:uiPriority w:val="9"/>
    <w:semiHidden/>
    <w:rsid w:val="00704FC6"/>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04FC6"/>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04FC6"/>
    <w:rPr>
      <w:rFonts w:asciiTheme="majorHAnsi" w:eastAsiaTheme="majorEastAsia" w:hAnsiTheme="majorHAnsi" w:cstheme="majorBidi"/>
      <w:i/>
      <w:iCs/>
      <w:smallCaps/>
      <w:color w:val="595959" w:themeColor="text1" w:themeTint="A6"/>
    </w:rPr>
  </w:style>
  <w:style w:type="paragraph" w:styleId="Quote">
    <w:name w:val="Quote"/>
    <w:basedOn w:val="Normal"/>
    <w:next w:val="Normal"/>
    <w:link w:val="QuoteChar"/>
    <w:uiPriority w:val="29"/>
    <w:qFormat/>
    <w:rsid w:val="00704FC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04FC6"/>
    <w:rPr>
      <w:i/>
      <w:iCs/>
    </w:rPr>
  </w:style>
  <w:style w:type="paragraph" w:styleId="IntenseQuote">
    <w:name w:val="Intense Quote"/>
    <w:basedOn w:val="Normal"/>
    <w:next w:val="Normal"/>
    <w:link w:val="IntenseQuoteChar"/>
    <w:uiPriority w:val="30"/>
    <w:qFormat/>
    <w:rsid w:val="00704FC6"/>
    <w:pPr>
      <w:spacing w:before="100" w:beforeAutospacing="1" w:after="240"/>
      <w:ind w:left="864" w:right="864"/>
      <w:jc w:val="center"/>
    </w:pPr>
    <w:rPr>
      <w:rFonts w:asciiTheme="majorHAnsi" w:eastAsiaTheme="majorEastAsia" w:hAnsiTheme="majorHAnsi" w:cstheme="majorBidi"/>
      <w:color w:val="92278F" w:themeColor="accent1"/>
      <w:sz w:val="28"/>
      <w:szCs w:val="28"/>
    </w:rPr>
  </w:style>
  <w:style w:type="character" w:customStyle="1" w:styleId="IntenseQuoteChar">
    <w:name w:val="Intense Quote Char"/>
    <w:basedOn w:val="DefaultParagraphFont"/>
    <w:link w:val="IntenseQuote"/>
    <w:uiPriority w:val="30"/>
    <w:rsid w:val="00704FC6"/>
    <w:rPr>
      <w:rFonts w:asciiTheme="majorHAnsi" w:eastAsiaTheme="majorEastAsia" w:hAnsiTheme="majorHAnsi" w:cstheme="majorBidi"/>
      <w:color w:val="92278F" w:themeColor="accent1"/>
      <w:sz w:val="28"/>
      <w:szCs w:val="28"/>
    </w:rPr>
  </w:style>
  <w:style w:type="character" w:styleId="SubtleEmphasis">
    <w:name w:val="Subtle Emphasis"/>
    <w:basedOn w:val="DefaultParagraphFont"/>
    <w:uiPriority w:val="19"/>
    <w:qFormat/>
    <w:rsid w:val="00704FC6"/>
    <w:rPr>
      <w:i/>
      <w:iCs/>
      <w:color w:val="595959" w:themeColor="text1" w:themeTint="A6"/>
    </w:rPr>
  </w:style>
  <w:style w:type="character" w:styleId="IntenseEmphasis">
    <w:name w:val="Intense Emphasis"/>
    <w:basedOn w:val="DefaultParagraphFont"/>
    <w:uiPriority w:val="21"/>
    <w:qFormat/>
    <w:rsid w:val="00704FC6"/>
    <w:rPr>
      <w:b/>
      <w:bCs/>
      <w:i/>
      <w:iCs/>
    </w:rPr>
  </w:style>
  <w:style w:type="character" w:styleId="SubtleReference">
    <w:name w:val="Subtle Reference"/>
    <w:basedOn w:val="DefaultParagraphFont"/>
    <w:uiPriority w:val="31"/>
    <w:qFormat/>
    <w:rsid w:val="00704FC6"/>
    <w:rPr>
      <w:smallCaps/>
      <w:color w:val="404040" w:themeColor="text1" w:themeTint="BF"/>
    </w:rPr>
  </w:style>
  <w:style w:type="character" w:styleId="IntenseReference">
    <w:name w:val="Intense Reference"/>
    <w:basedOn w:val="DefaultParagraphFont"/>
    <w:uiPriority w:val="32"/>
    <w:qFormat/>
    <w:rsid w:val="00704FC6"/>
    <w:rPr>
      <w:b/>
      <w:bCs/>
      <w:smallCaps/>
      <w:u w:val="single"/>
    </w:rPr>
  </w:style>
  <w:style w:type="character" w:styleId="BookTitle">
    <w:name w:val="Book Title"/>
    <w:basedOn w:val="DefaultParagraphFont"/>
    <w:uiPriority w:val="33"/>
    <w:qFormat/>
    <w:rsid w:val="00704FC6"/>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3698511">
      <w:bodyDiv w:val="1"/>
      <w:marLeft w:val="0"/>
      <w:marRight w:val="0"/>
      <w:marTop w:val="0"/>
      <w:marBottom w:val="0"/>
      <w:divBdr>
        <w:top w:val="none" w:sz="0" w:space="0" w:color="auto"/>
        <w:left w:val="none" w:sz="0" w:space="0" w:color="auto"/>
        <w:bottom w:val="none" w:sz="0" w:space="0" w:color="auto"/>
        <w:right w:val="none" w:sz="0" w:space="0" w:color="auto"/>
      </w:divBdr>
      <w:divsChild>
        <w:div w:id="655034982">
          <w:marLeft w:val="0"/>
          <w:marRight w:val="0"/>
          <w:marTop w:val="0"/>
          <w:marBottom w:val="0"/>
          <w:divBdr>
            <w:top w:val="none" w:sz="0" w:space="0" w:color="auto"/>
            <w:left w:val="none" w:sz="0" w:space="0" w:color="auto"/>
            <w:bottom w:val="none" w:sz="0" w:space="0" w:color="auto"/>
            <w:right w:val="none" w:sz="0" w:space="0" w:color="auto"/>
          </w:divBdr>
          <w:divsChild>
            <w:div w:id="1136920484">
              <w:marLeft w:val="0"/>
              <w:marRight w:val="0"/>
              <w:marTop w:val="0"/>
              <w:marBottom w:val="0"/>
              <w:divBdr>
                <w:top w:val="none" w:sz="0" w:space="0" w:color="auto"/>
                <w:left w:val="none" w:sz="0" w:space="0" w:color="auto"/>
                <w:bottom w:val="none" w:sz="0" w:space="0" w:color="auto"/>
                <w:right w:val="none" w:sz="0" w:space="0" w:color="auto"/>
              </w:divBdr>
              <w:divsChild>
                <w:div w:id="184443662">
                  <w:marLeft w:val="0"/>
                  <w:marRight w:val="0"/>
                  <w:marTop w:val="0"/>
                  <w:marBottom w:val="0"/>
                  <w:divBdr>
                    <w:top w:val="none" w:sz="0" w:space="0" w:color="auto"/>
                    <w:left w:val="none" w:sz="0" w:space="0" w:color="auto"/>
                    <w:bottom w:val="none" w:sz="0" w:space="0" w:color="auto"/>
                    <w:right w:val="none" w:sz="0" w:space="0" w:color="auto"/>
                  </w:divBdr>
                  <w:divsChild>
                    <w:div w:id="2117207477">
                      <w:marLeft w:val="0"/>
                      <w:marRight w:val="0"/>
                      <w:marTop w:val="0"/>
                      <w:marBottom w:val="0"/>
                      <w:divBdr>
                        <w:top w:val="none" w:sz="0" w:space="0" w:color="auto"/>
                        <w:left w:val="none" w:sz="0" w:space="0" w:color="auto"/>
                        <w:bottom w:val="none" w:sz="0" w:space="0" w:color="auto"/>
                        <w:right w:val="none" w:sz="0" w:space="0" w:color="auto"/>
                      </w:divBdr>
                      <w:divsChild>
                        <w:div w:id="56562366">
                          <w:marLeft w:val="0"/>
                          <w:marRight w:val="0"/>
                          <w:marTop w:val="0"/>
                          <w:marBottom w:val="0"/>
                          <w:divBdr>
                            <w:top w:val="none" w:sz="0" w:space="0" w:color="auto"/>
                            <w:left w:val="none" w:sz="0" w:space="0" w:color="auto"/>
                            <w:bottom w:val="none" w:sz="0" w:space="0" w:color="auto"/>
                            <w:right w:val="none" w:sz="0" w:space="0" w:color="auto"/>
                          </w:divBdr>
                          <w:divsChild>
                            <w:div w:id="1891653691">
                              <w:marLeft w:val="0"/>
                              <w:marRight w:val="0"/>
                              <w:marTop w:val="0"/>
                              <w:marBottom w:val="0"/>
                              <w:divBdr>
                                <w:top w:val="none" w:sz="0" w:space="0" w:color="auto"/>
                                <w:left w:val="none" w:sz="0" w:space="0" w:color="auto"/>
                                <w:bottom w:val="none" w:sz="0" w:space="0" w:color="auto"/>
                                <w:right w:val="none" w:sz="0" w:space="0" w:color="auto"/>
                              </w:divBdr>
                              <w:divsChild>
                                <w:div w:id="9478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10593">
      <w:bodyDiv w:val="1"/>
      <w:marLeft w:val="0"/>
      <w:marRight w:val="0"/>
      <w:marTop w:val="0"/>
      <w:marBottom w:val="0"/>
      <w:divBdr>
        <w:top w:val="none" w:sz="0" w:space="0" w:color="auto"/>
        <w:left w:val="none" w:sz="0" w:space="0" w:color="auto"/>
        <w:bottom w:val="none" w:sz="0" w:space="0" w:color="auto"/>
        <w:right w:val="none" w:sz="0" w:space="0" w:color="auto"/>
      </w:divBdr>
      <w:divsChild>
        <w:div w:id="14119925">
          <w:marLeft w:val="0"/>
          <w:marRight w:val="0"/>
          <w:marTop w:val="0"/>
          <w:marBottom w:val="0"/>
          <w:divBdr>
            <w:top w:val="none" w:sz="0" w:space="0" w:color="auto"/>
            <w:left w:val="none" w:sz="0" w:space="0" w:color="auto"/>
            <w:bottom w:val="none" w:sz="0" w:space="0" w:color="auto"/>
            <w:right w:val="none" w:sz="0" w:space="0" w:color="auto"/>
          </w:divBdr>
        </w:div>
        <w:div w:id="31079563">
          <w:marLeft w:val="0"/>
          <w:marRight w:val="0"/>
          <w:marTop w:val="0"/>
          <w:marBottom w:val="0"/>
          <w:divBdr>
            <w:top w:val="none" w:sz="0" w:space="0" w:color="auto"/>
            <w:left w:val="none" w:sz="0" w:space="0" w:color="auto"/>
            <w:bottom w:val="none" w:sz="0" w:space="0" w:color="auto"/>
            <w:right w:val="none" w:sz="0" w:space="0" w:color="auto"/>
          </w:divBdr>
        </w:div>
        <w:div w:id="71048117">
          <w:marLeft w:val="0"/>
          <w:marRight w:val="0"/>
          <w:marTop w:val="0"/>
          <w:marBottom w:val="0"/>
          <w:divBdr>
            <w:top w:val="none" w:sz="0" w:space="0" w:color="auto"/>
            <w:left w:val="none" w:sz="0" w:space="0" w:color="auto"/>
            <w:bottom w:val="none" w:sz="0" w:space="0" w:color="auto"/>
            <w:right w:val="none" w:sz="0" w:space="0" w:color="auto"/>
          </w:divBdr>
        </w:div>
        <w:div w:id="77484886">
          <w:marLeft w:val="0"/>
          <w:marRight w:val="0"/>
          <w:marTop w:val="0"/>
          <w:marBottom w:val="0"/>
          <w:divBdr>
            <w:top w:val="none" w:sz="0" w:space="0" w:color="auto"/>
            <w:left w:val="none" w:sz="0" w:space="0" w:color="auto"/>
            <w:bottom w:val="none" w:sz="0" w:space="0" w:color="auto"/>
            <w:right w:val="none" w:sz="0" w:space="0" w:color="auto"/>
          </w:divBdr>
        </w:div>
        <w:div w:id="96485343">
          <w:marLeft w:val="0"/>
          <w:marRight w:val="0"/>
          <w:marTop w:val="0"/>
          <w:marBottom w:val="0"/>
          <w:divBdr>
            <w:top w:val="none" w:sz="0" w:space="0" w:color="auto"/>
            <w:left w:val="none" w:sz="0" w:space="0" w:color="auto"/>
            <w:bottom w:val="none" w:sz="0" w:space="0" w:color="auto"/>
            <w:right w:val="none" w:sz="0" w:space="0" w:color="auto"/>
          </w:divBdr>
        </w:div>
        <w:div w:id="103307309">
          <w:marLeft w:val="0"/>
          <w:marRight w:val="0"/>
          <w:marTop w:val="0"/>
          <w:marBottom w:val="0"/>
          <w:divBdr>
            <w:top w:val="none" w:sz="0" w:space="0" w:color="auto"/>
            <w:left w:val="none" w:sz="0" w:space="0" w:color="auto"/>
            <w:bottom w:val="none" w:sz="0" w:space="0" w:color="auto"/>
            <w:right w:val="none" w:sz="0" w:space="0" w:color="auto"/>
          </w:divBdr>
        </w:div>
        <w:div w:id="155387244">
          <w:marLeft w:val="0"/>
          <w:marRight w:val="0"/>
          <w:marTop w:val="0"/>
          <w:marBottom w:val="0"/>
          <w:divBdr>
            <w:top w:val="none" w:sz="0" w:space="0" w:color="auto"/>
            <w:left w:val="none" w:sz="0" w:space="0" w:color="auto"/>
            <w:bottom w:val="none" w:sz="0" w:space="0" w:color="auto"/>
            <w:right w:val="none" w:sz="0" w:space="0" w:color="auto"/>
          </w:divBdr>
        </w:div>
        <w:div w:id="186913786">
          <w:marLeft w:val="0"/>
          <w:marRight w:val="0"/>
          <w:marTop w:val="0"/>
          <w:marBottom w:val="0"/>
          <w:divBdr>
            <w:top w:val="none" w:sz="0" w:space="0" w:color="auto"/>
            <w:left w:val="none" w:sz="0" w:space="0" w:color="auto"/>
            <w:bottom w:val="none" w:sz="0" w:space="0" w:color="auto"/>
            <w:right w:val="none" w:sz="0" w:space="0" w:color="auto"/>
          </w:divBdr>
        </w:div>
        <w:div w:id="204146489">
          <w:marLeft w:val="0"/>
          <w:marRight w:val="0"/>
          <w:marTop w:val="0"/>
          <w:marBottom w:val="0"/>
          <w:divBdr>
            <w:top w:val="none" w:sz="0" w:space="0" w:color="auto"/>
            <w:left w:val="none" w:sz="0" w:space="0" w:color="auto"/>
            <w:bottom w:val="none" w:sz="0" w:space="0" w:color="auto"/>
            <w:right w:val="none" w:sz="0" w:space="0" w:color="auto"/>
          </w:divBdr>
        </w:div>
        <w:div w:id="204871160">
          <w:marLeft w:val="0"/>
          <w:marRight w:val="0"/>
          <w:marTop w:val="0"/>
          <w:marBottom w:val="0"/>
          <w:divBdr>
            <w:top w:val="none" w:sz="0" w:space="0" w:color="auto"/>
            <w:left w:val="none" w:sz="0" w:space="0" w:color="auto"/>
            <w:bottom w:val="none" w:sz="0" w:space="0" w:color="auto"/>
            <w:right w:val="none" w:sz="0" w:space="0" w:color="auto"/>
          </w:divBdr>
        </w:div>
        <w:div w:id="205652303">
          <w:marLeft w:val="0"/>
          <w:marRight w:val="0"/>
          <w:marTop w:val="0"/>
          <w:marBottom w:val="0"/>
          <w:divBdr>
            <w:top w:val="none" w:sz="0" w:space="0" w:color="auto"/>
            <w:left w:val="none" w:sz="0" w:space="0" w:color="auto"/>
            <w:bottom w:val="none" w:sz="0" w:space="0" w:color="auto"/>
            <w:right w:val="none" w:sz="0" w:space="0" w:color="auto"/>
          </w:divBdr>
        </w:div>
        <w:div w:id="275067589">
          <w:marLeft w:val="0"/>
          <w:marRight w:val="0"/>
          <w:marTop w:val="0"/>
          <w:marBottom w:val="0"/>
          <w:divBdr>
            <w:top w:val="none" w:sz="0" w:space="0" w:color="auto"/>
            <w:left w:val="none" w:sz="0" w:space="0" w:color="auto"/>
            <w:bottom w:val="none" w:sz="0" w:space="0" w:color="auto"/>
            <w:right w:val="none" w:sz="0" w:space="0" w:color="auto"/>
          </w:divBdr>
        </w:div>
        <w:div w:id="307981549">
          <w:marLeft w:val="0"/>
          <w:marRight w:val="0"/>
          <w:marTop w:val="0"/>
          <w:marBottom w:val="0"/>
          <w:divBdr>
            <w:top w:val="none" w:sz="0" w:space="0" w:color="auto"/>
            <w:left w:val="none" w:sz="0" w:space="0" w:color="auto"/>
            <w:bottom w:val="none" w:sz="0" w:space="0" w:color="auto"/>
            <w:right w:val="none" w:sz="0" w:space="0" w:color="auto"/>
          </w:divBdr>
        </w:div>
        <w:div w:id="399981346">
          <w:marLeft w:val="0"/>
          <w:marRight w:val="0"/>
          <w:marTop w:val="0"/>
          <w:marBottom w:val="0"/>
          <w:divBdr>
            <w:top w:val="none" w:sz="0" w:space="0" w:color="auto"/>
            <w:left w:val="none" w:sz="0" w:space="0" w:color="auto"/>
            <w:bottom w:val="none" w:sz="0" w:space="0" w:color="auto"/>
            <w:right w:val="none" w:sz="0" w:space="0" w:color="auto"/>
          </w:divBdr>
        </w:div>
        <w:div w:id="401027332">
          <w:marLeft w:val="0"/>
          <w:marRight w:val="0"/>
          <w:marTop w:val="0"/>
          <w:marBottom w:val="0"/>
          <w:divBdr>
            <w:top w:val="none" w:sz="0" w:space="0" w:color="auto"/>
            <w:left w:val="none" w:sz="0" w:space="0" w:color="auto"/>
            <w:bottom w:val="none" w:sz="0" w:space="0" w:color="auto"/>
            <w:right w:val="none" w:sz="0" w:space="0" w:color="auto"/>
          </w:divBdr>
        </w:div>
        <w:div w:id="442192284">
          <w:marLeft w:val="0"/>
          <w:marRight w:val="0"/>
          <w:marTop w:val="0"/>
          <w:marBottom w:val="0"/>
          <w:divBdr>
            <w:top w:val="none" w:sz="0" w:space="0" w:color="auto"/>
            <w:left w:val="none" w:sz="0" w:space="0" w:color="auto"/>
            <w:bottom w:val="none" w:sz="0" w:space="0" w:color="auto"/>
            <w:right w:val="none" w:sz="0" w:space="0" w:color="auto"/>
          </w:divBdr>
        </w:div>
        <w:div w:id="484054216">
          <w:marLeft w:val="0"/>
          <w:marRight w:val="0"/>
          <w:marTop w:val="0"/>
          <w:marBottom w:val="0"/>
          <w:divBdr>
            <w:top w:val="none" w:sz="0" w:space="0" w:color="auto"/>
            <w:left w:val="none" w:sz="0" w:space="0" w:color="auto"/>
            <w:bottom w:val="none" w:sz="0" w:space="0" w:color="auto"/>
            <w:right w:val="none" w:sz="0" w:space="0" w:color="auto"/>
          </w:divBdr>
        </w:div>
        <w:div w:id="562327871">
          <w:marLeft w:val="0"/>
          <w:marRight w:val="0"/>
          <w:marTop w:val="0"/>
          <w:marBottom w:val="0"/>
          <w:divBdr>
            <w:top w:val="none" w:sz="0" w:space="0" w:color="auto"/>
            <w:left w:val="none" w:sz="0" w:space="0" w:color="auto"/>
            <w:bottom w:val="none" w:sz="0" w:space="0" w:color="auto"/>
            <w:right w:val="none" w:sz="0" w:space="0" w:color="auto"/>
          </w:divBdr>
        </w:div>
        <w:div w:id="588468611">
          <w:marLeft w:val="0"/>
          <w:marRight w:val="0"/>
          <w:marTop w:val="0"/>
          <w:marBottom w:val="0"/>
          <w:divBdr>
            <w:top w:val="none" w:sz="0" w:space="0" w:color="auto"/>
            <w:left w:val="none" w:sz="0" w:space="0" w:color="auto"/>
            <w:bottom w:val="none" w:sz="0" w:space="0" w:color="auto"/>
            <w:right w:val="none" w:sz="0" w:space="0" w:color="auto"/>
          </w:divBdr>
        </w:div>
        <w:div w:id="609358298">
          <w:marLeft w:val="0"/>
          <w:marRight w:val="0"/>
          <w:marTop w:val="0"/>
          <w:marBottom w:val="0"/>
          <w:divBdr>
            <w:top w:val="none" w:sz="0" w:space="0" w:color="auto"/>
            <w:left w:val="none" w:sz="0" w:space="0" w:color="auto"/>
            <w:bottom w:val="none" w:sz="0" w:space="0" w:color="auto"/>
            <w:right w:val="none" w:sz="0" w:space="0" w:color="auto"/>
          </w:divBdr>
        </w:div>
        <w:div w:id="662897784">
          <w:marLeft w:val="0"/>
          <w:marRight w:val="0"/>
          <w:marTop w:val="0"/>
          <w:marBottom w:val="0"/>
          <w:divBdr>
            <w:top w:val="none" w:sz="0" w:space="0" w:color="auto"/>
            <w:left w:val="none" w:sz="0" w:space="0" w:color="auto"/>
            <w:bottom w:val="none" w:sz="0" w:space="0" w:color="auto"/>
            <w:right w:val="none" w:sz="0" w:space="0" w:color="auto"/>
          </w:divBdr>
        </w:div>
        <w:div w:id="673649615">
          <w:marLeft w:val="0"/>
          <w:marRight w:val="0"/>
          <w:marTop w:val="0"/>
          <w:marBottom w:val="0"/>
          <w:divBdr>
            <w:top w:val="none" w:sz="0" w:space="0" w:color="auto"/>
            <w:left w:val="none" w:sz="0" w:space="0" w:color="auto"/>
            <w:bottom w:val="none" w:sz="0" w:space="0" w:color="auto"/>
            <w:right w:val="none" w:sz="0" w:space="0" w:color="auto"/>
          </w:divBdr>
        </w:div>
        <w:div w:id="689063288">
          <w:marLeft w:val="0"/>
          <w:marRight w:val="0"/>
          <w:marTop w:val="0"/>
          <w:marBottom w:val="0"/>
          <w:divBdr>
            <w:top w:val="none" w:sz="0" w:space="0" w:color="auto"/>
            <w:left w:val="none" w:sz="0" w:space="0" w:color="auto"/>
            <w:bottom w:val="none" w:sz="0" w:space="0" w:color="auto"/>
            <w:right w:val="none" w:sz="0" w:space="0" w:color="auto"/>
          </w:divBdr>
        </w:div>
        <w:div w:id="728192399">
          <w:marLeft w:val="0"/>
          <w:marRight w:val="0"/>
          <w:marTop w:val="0"/>
          <w:marBottom w:val="0"/>
          <w:divBdr>
            <w:top w:val="none" w:sz="0" w:space="0" w:color="auto"/>
            <w:left w:val="none" w:sz="0" w:space="0" w:color="auto"/>
            <w:bottom w:val="none" w:sz="0" w:space="0" w:color="auto"/>
            <w:right w:val="none" w:sz="0" w:space="0" w:color="auto"/>
          </w:divBdr>
        </w:div>
        <w:div w:id="729886991">
          <w:marLeft w:val="0"/>
          <w:marRight w:val="0"/>
          <w:marTop w:val="0"/>
          <w:marBottom w:val="0"/>
          <w:divBdr>
            <w:top w:val="none" w:sz="0" w:space="0" w:color="auto"/>
            <w:left w:val="none" w:sz="0" w:space="0" w:color="auto"/>
            <w:bottom w:val="none" w:sz="0" w:space="0" w:color="auto"/>
            <w:right w:val="none" w:sz="0" w:space="0" w:color="auto"/>
          </w:divBdr>
        </w:div>
        <w:div w:id="761142197">
          <w:marLeft w:val="0"/>
          <w:marRight w:val="0"/>
          <w:marTop w:val="0"/>
          <w:marBottom w:val="0"/>
          <w:divBdr>
            <w:top w:val="none" w:sz="0" w:space="0" w:color="auto"/>
            <w:left w:val="none" w:sz="0" w:space="0" w:color="auto"/>
            <w:bottom w:val="none" w:sz="0" w:space="0" w:color="auto"/>
            <w:right w:val="none" w:sz="0" w:space="0" w:color="auto"/>
          </w:divBdr>
        </w:div>
        <w:div w:id="774910175">
          <w:marLeft w:val="0"/>
          <w:marRight w:val="0"/>
          <w:marTop w:val="0"/>
          <w:marBottom w:val="0"/>
          <w:divBdr>
            <w:top w:val="none" w:sz="0" w:space="0" w:color="auto"/>
            <w:left w:val="none" w:sz="0" w:space="0" w:color="auto"/>
            <w:bottom w:val="none" w:sz="0" w:space="0" w:color="auto"/>
            <w:right w:val="none" w:sz="0" w:space="0" w:color="auto"/>
          </w:divBdr>
        </w:div>
        <w:div w:id="791749901">
          <w:marLeft w:val="0"/>
          <w:marRight w:val="0"/>
          <w:marTop w:val="0"/>
          <w:marBottom w:val="0"/>
          <w:divBdr>
            <w:top w:val="none" w:sz="0" w:space="0" w:color="auto"/>
            <w:left w:val="none" w:sz="0" w:space="0" w:color="auto"/>
            <w:bottom w:val="none" w:sz="0" w:space="0" w:color="auto"/>
            <w:right w:val="none" w:sz="0" w:space="0" w:color="auto"/>
          </w:divBdr>
        </w:div>
        <w:div w:id="830216700">
          <w:marLeft w:val="0"/>
          <w:marRight w:val="0"/>
          <w:marTop w:val="0"/>
          <w:marBottom w:val="0"/>
          <w:divBdr>
            <w:top w:val="none" w:sz="0" w:space="0" w:color="auto"/>
            <w:left w:val="none" w:sz="0" w:space="0" w:color="auto"/>
            <w:bottom w:val="none" w:sz="0" w:space="0" w:color="auto"/>
            <w:right w:val="none" w:sz="0" w:space="0" w:color="auto"/>
          </w:divBdr>
        </w:div>
        <w:div w:id="844243787">
          <w:marLeft w:val="0"/>
          <w:marRight w:val="0"/>
          <w:marTop w:val="0"/>
          <w:marBottom w:val="0"/>
          <w:divBdr>
            <w:top w:val="none" w:sz="0" w:space="0" w:color="auto"/>
            <w:left w:val="none" w:sz="0" w:space="0" w:color="auto"/>
            <w:bottom w:val="none" w:sz="0" w:space="0" w:color="auto"/>
            <w:right w:val="none" w:sz="0" w:space="0" w:color="auto"/>
          </w:divBdr>
        </w:div>
        <w:div w:id="852377981">
          <w:marLeft w:val="0"/>
          <w:marRight w:val="0"/>
          <w:marTop w:val="0"/>
          <w:marBottom w:val="0"/>
          <w:divBdr>
            <w:top w:val="none" w:sz="0" w:space="0" w:color="auto"/>
            <w:left w:val="none" w:sz="0" w:space="0" w:color="auto"/>
            <w:bottom w:val="none" w:sz="0" w:space="0" w:color="auto"/>
            <w:right w:val="none" w:sz="0" w:space="0" w:color="auto"/>
          </w:divBdr>
        </w:div>
        <w:div w:id="883561637">
          <w:marLeft w:val="0"/>
          <w:marRight w:val="0"/>
          <w:marTop w:val="0"/>
          <w:marBottom w:val="0"/>
          <w:divBdr>
            <w:top w:val="none" w:sz="0" w:space="0" w:color="auto"/>
            <w:left w:val="none" w:sz="0" w:space="0" w:color="auto"/>
            <w:bottom w:val="none" w:sz="0" w:space="0" w:color="auto"/>
            <w:right w:val="none" w:sz="0" w:space="0" w:color="auto"/>
          </w:divBdr>
        </w:div>
        <w:div w:id="907114366">
          <w:marLeft w:val="0"/>
          <w:marRight w:val="0"/>
          <w:marTop w:val="0"/>
          <w:marBottom w:val="0"/>
          <w:divBdr>
            <w:top w:val="none" w:sz="0" w:space="0" w:color="auto"/>
            <w:left w:val="none" w:sz="0" w:space="0" w:color="auto"/>
            <w:bottom w:val="none" w:sz="0" w:space="0" w:color="auto"/>
            <w:right w:val="none" w:sz="0" w:space="0" w:color="auto"/>
          </w:divBdr>
        </w:div>
        <w:div w:id="918560945">
          <w:marLeft w:val="0"/>
          <w:marRight w:val="0"/>
          <w:marTop w:val="0"/>
          <w:marBottom w:val="0"/>
          <w:divBdr>
            <w:top w:val="none" w:sz="0" w:space="0" w:color="auto"/>
            <w:left w:val="none" w:sz="0" w:space="0" w:color="auto"/>
            <w:bottom w:val="none" w:sz="0" w:space="0" w:color="auto"/>
            <w:right w:val="none" w:sz="0" w:space="0" w:color="auto"/>
          </w:divBdr>
        </w:div>
        <w:div w:id="936716625">
          <w:marLeft w:val="0"/>
          <w:marRight w:val="0"/>
          <w:marTop w:val="0"/>
          <w:marBottom w:val="0"/>
          <w:divBdr>
            <w:top w:val="none" w:sz="0" w:space="0" w:color="auto"/>
            <w:left w:val="none" w:sz="0" w:space="0" w:color="auto"/>
            <w:bottom w:val="none" w:sz="0" w:space="0" w:color="auto"/>
            <w:right w:val="none" w:sz="0" w:space="0" w:color="auto"/>
          </w:divBdr>
        </w:div>
        <w:div w:id="940649489">
          <w:marLeft w:val="0"/>
          <w:marRight w:val="0"/>
          <w:marTop w:val="0"/>
          <w:marBottom w:val="0"/>
          <w:divBdr>
            <w:top w:val="none" w:sz="0" w:space="0" w:color="auto"/>
            <w:left w:val="none" w:sz="0" w:space="0" w:color="auto"/>
            <w:bottom w:val="none" w:sz="0" w:space="0" w:color="auto"/>
            <w:right w:val="none" w:sz="0" w:space="0" w:color="auto"/>
          </w:divBdr>
        </w:div>
        <w:div w:id="974138948">
          <w:marLeft w:val="0"/>
          <w:marRight w:val="0"/>
          <w:marTop w:val="0"/>
          <w:marBottom w:val="0"/>
          <w:divBdr>
            <w:top w:val="none" w:sz="0" w:space="0" w:color="auto"/>
            <w:left w:val="none" w:sz="0" w:space="0" w:color="auto"/>
            <w:bottom w:val="none" w:sz="0" w:space="0" w:color="auto"/>
            <w:right w:val="none" w:sz="0" w:space="0" w:color="auto"/>
          </w:divBdr>
        </w:div>
        <w:div w:id="989751797">
          <w:marLeft w:val="0"/>
          <w:marRight w:val="0"/>
          <w:marTop w:val="0"/>
          <w:marBottom w:val="0"/>
          <w:divBdr>
            <w:top w:val="none" w:sz="0" w:space="0" w:color="auto"/>
            <w:left w:val="none" w:sz="0" w:space="0" w:color="auto"/>
            <w:bottom w:val="none" w:sz="0" w:space="0" w:color="auto"/>
            <w:right w:val="none" w:sz="0" w:space="0" w:color="auto"/>
          </w:divBdr>
        </w:div>
        <w:div w:id="1030685277">
          <w:marLeft w:val="0"/>
          <w:marRight w:val="0"/>
          <w:marTop w:val="0"/>
          <w:marBottom w:val="0"/>
          <w:divBdr>
            <w:top w:val="none" w:sz="0" w:space="0" w:color="auto"/>
            <w:left w:val="none" w:sz="0" w:space="0" w:color="auto"/>
            <w:bottom w:val="none" w:sz="0" w:space="0" w:color="auto"/>
            <w:right w:val="none" w:sz="0" w:space="0" w:color="auto"/>
          </w:divBdr>
        </w:div>
        <w:div w:id="1064139439">
          <w:marLeft w:val="0"/>
          <w:marRight w:val="0"/>
          <w:marTop w:val="0"/>
          <w:marBottom w:val="0"/>
          <w:divBdr>
            <w:top w:val="none" w:sz="0" w:space="0" w:color="auto"/>
            <w:left w:val="none" w:sz="0" w:space="0" w:color="auto"/>
            <w:bottom w:val="none" w:sz="0" w:space="0" w:color="auto"/>
            <w:right w:val="none" w:sz="0" w:space="0" w:color="auto"/>
          </w:divBdr>
        </w:div>
        <w:div w:id="1155991785">
          <w:marLeft w:val="0"/>
          <w:marRight w:val="0"/>
          <w:marTop w:val="0"/>
          <w:marBottom w:val="0"/>
          <w:divBdr>
            <w:top w:val="none" w:sz="0" w:space="0" w:color="auto"/>
            <w:left w:val="none" w:sz="0" w:space="0" w:color="auto"/>
            <w:bottom w:val="none" w:sz="0" w:space="0" w:color="auto"/>
            <w:right w:val="none" w:sz="0" w:space="0" w:color="auto"/>
          </w:divBdr>
        </w:div>
        <w:div w:id="1192838448">
          <w:marLeft w:val="0"/>
          <w:marRight w:val="0"/>
          <w:marTop w:val="0"/>
          <w:marBottom w:val="0"/>
          <w:divBdr>
            <w:top w:val="none" w:sz="0" w:space="0" w:color="auto"/>
            <w:left w:val="none" w:sz="0" w:space="0" w:color="auto"/>
            <w:bottom w:val="none" w:sz="0" w:space="0" w:color="auto"/>
            <w:right w:val="none" w:sz="0" w:space="0" w:color="auto"/>
          </w:divBdr>
        </w:div>
        <w:div w:id="1196112618">
          <w:marLeft w:val="0"/>
          <w:marRight w:val="0"/>
          <w:marTop w:val="0"/>
          <w:marBottom w:val="0"/>
          <w:divBdr>
            <w:top w:val="none" w:sz="0" w:space="0" w:color="auto"/>
            <w:left w:val="none" w:sz="0" w:space="0" w:color="auto"/>
            <w:bottom w:val="none" w:sz="0" w:space="0" w:color="auto"/>
            <w:right w:val="none" w:sz="0" w:space="0" w:color="auto"/>
          </w:divBdr>
        </w:div>
        <w:div w:id="1205142663">
          <w:marLeft w:val="0"/>
          <w:marRight w:val="0"/>
          <w:marTop w:val="0"/>
          <w:marBottom w:val="0"/>
          <w:divBdr>
            <w:top w:val="none" w:sz="0" w:space="0" w:color="auto"/>
            <w:left w:val="none" w:sz="0" w:space="0" w:color="auto"/>
            <w:bottom w:val="none" w:sz="0" w:space="0" w:color="auto"/>
            <w:right w:val="none" w:sz="0" w:space="0" w:color="auto"/>
          </w:divBdr>
        </w:div>
        <w:div w:id="1229538779">
          <w:marLeft w:val="0"/>
          <w:marRight w:val="0"/>
          <w:marTop w:val="0"/>
          <w:marBottom w:val="0"/>
          <w:divBdr>
            <w:top w:val="none" w:sz="0" w:space="0" w:color="auto"/>
            <w:left w:val="none" w:sz="0" w:space="0" w:color="auto"/>
            <w:bottom w:val="none" w:sz="0" w:space="0" w:color="auto"/>
            <w:right w:val="none" w:sz="0" w:space="0" w:color="auto"/>
          </w:divBdr>
        </w:div>
        <w:div w:id="1232690604">
          <w:marLeft w:val="0"/>
          <w:marRight w:val="0"/>
          <w:marTop w:val="0"/>
          <w:marBottom w:val="0"/>
          <w:divBdr>
            <w:top w:val="none" w:sz="0" w:space="0" w:color="auto"/>
            <w:left w:val="none" w:sz="0" w:space="0" w:color="auto"/>
            <w:bottom w:val="none" w:sz="0" w:space="0" w:color="auto"/>
            <w:right w:val="none" w:sz="0" w:space="0" w:color="auto"/>
          </w:divBdr>
        </w:div>
        <w:div w:id="1260528624">
          <w:marLeft w:val="0"/>
          <w:marRight w:val="0"/>
          <w:marTop w:val="0"/>
          <w:marBottom w:val="0"/>
          <w:divBdr>
            <w:top w:val="none" w:sz="0" w:space="0" w:color="auto"/>
            <w:left w:val="none" w:sz="0" w:space="0" w:color="auto"/>
            <w:bottom w:val="none" w:sz="0" w:space="0" w:color="auto"/>
            <w:right w:val="none" w:sz="0" w:space="0" w:color="auto"/>
          </w:divBdr>
        </w:div>
        <w:div w:id="1291521713">
          <w:marLeft w:val="0"/>
          <w:marRight w:val="0"/>
          <w:marTop w:val="0"/>
          <w:marBottom w:val="0"/>
          <w:divBdr>
            <w:top w:val="none" w:sz="0" w:space="0" w:color="auto"/>
            <w:left w:val="none" w:sz="0" w:space="0" w:color="auto"/>
            <w:bottom w:val="none" w:sz="0" w:space="0" w:color="auto"/>
            <w:right w:val="none" w:sz="0" w:space="0" w:color="auto"/>
          </w:divBdr>
        </w:div>
        <w:div w:id="1301304462">
          <w:marLeft w:val="0"/>
          <w:marRight w:val="0"/>
          <w:marTop w:val="0"/>
          <w:marBottom w:val="0"/>
          <w:divBdr>
            <w:top w:val="none" w:sz="0" w:space="0" w:color="auto"/>
            <w:left w:val="none" w:sz="0" w:space="0" w:color="auto"/>
            <w:bottom w:val="none" w:sz="0" w:space="0" w:color="auto"/>
            <w:right w:val="none" w:sz="0" w:space="0" w:color="auto"/>
          </w:divBdr>
        </w:div>
        <w:div w:id="1304895072">
          <w:marLeft w:val="0"/>
          <w:marRight w:val="0"/>
          <w:marTop w:val="0"/>
          <w:marBottom w:val="0"/>
          <w:divBdr>
            <w:top w:val="none" w:sz="0" w:space="0" w:color="auto"/>
            <w:left w:val="none" w:sz="0" w:space="0" w:color="auto"/>
            <w:bottom w:val="none" w:sz="0" w:space="0" w:color="auto"/>
            <w:right w:val="none" w:sz="0" w:space="0" w:color="auto"/>
          </w:divBdr>
        </w:div>
        <w:div w:id="1305310281">
          <w:marLeft w:val="0"/>
          <w:marRight w:val="0"/>
          <w:marTop w:val="0"/>
          <w:marBottom w:val="0"/>
          <w:divBdr>
            <w:top w:val="none" w:sz="0" w:space="0" w:color="auto"/>
            <w:left w:val="none" w:sz="0" w:space="0" w:color="auto"/>
            <w:bottom w:val="none" w:sz="0" w:space="0" w:color="auto"/>
            <w:right w:val="none" w:sz="0" w:space="0" w:color="auto"/>
          </w:divBdr>
        </w:div>
        <w:div w:id="1367561168">
          <w:marLeft w:val="0"/>
          <w:marRight w:val="0"/>
          <w:marTop w:val="0"/>
          <w:marBottom w:val="0"/>
          <w:divBdr>
            <w:top w:val="none" w:sz="0" w:space="0" w:color="auto"/>
            <w:left w:val="none" w:sz="0" w:space="0" w:color="auto"/>
            <w:bottom w:val="none" w:sz="0" w:space="0" w:color="auto"/>
            <w:right w:val="none" w:sz="0" w:space="0" w:color="auto"/>
          </w:divBdr>
        </w:div>
        <w:div w:id="1380474010">
          <w:marLeft w:val="0"/>
          <w:marRight w:val="0"/>
          <w:marTop w:val="0"/>
          <w:marBottom w:val="0"/>
          <w:divBdr>
            <w:top w:val="none" w:sz="0" w:space="0" w:color="auto"/>
            <w:left w:val="none" w:sz="0" w:space="0" w:color="auto"/>
            <w:bottom w:val="none" w:sz="0" w:space="0" w:color="auto"/>
            <w:right w:val="none" w:sz="0" w:space="0" w:color="auto"/>
          </w:divBdr>
        </w:div>
        <w:div w:id="1417675197">
          <w:marLeft w:val="0"/>
          <w:marRight w:val="0"/>
          <w:marTop w:val="0"/>
          <w:marBottom w:val="0"/>
          <w:divBdr>
            <w:top w:val="none" w:sz="0" w:space="0" w:color="auto"/>
            <w:left w:val="none" w:sz="0" w:space="0" w:color="auto"/>
            <w:bottom w:val="none" w:sz="0" w:space="0" w:color="auto"/>
            <w:right w:val="none" w:sz="0" w:space="0" w:color="auto"/>
          </w:divBdr>
        </w:div>
        <w:div w:id="1431773766">
          <w:marLeft w:val="0"/>
          <w:marRight w:val="0"/>
          <w:marTop w:val="0"/>
          <w:marBottom w:val="0"/>
          <w:divBdr>
            <w:top w:val="none" w:sz="0" w:space="0" w:color="auto"/>
            <w:left w:val="none" w:sz="0" w:space="0" w:color="auto"/>
            <w:bottom w:val="none" w:sz="0" w:space="0" w:color="auto"/>
            <w:right w:val="none" w:sz="0" w:space="0" w:color="auto"/>
          </w:divBdr>
        </w:div>
        <w:div w:id="1451976822">
          <w:marLeft w:val="0"/>
          <w:marRight w:val="0"/>
          <w:marTop w:val="0"/>
          <w:marBottom w:val="0"/>
          <w:divBdr>
            <w:top w:val="none" w:sz="0" w:space="0" w:color="auto"/>
            <w:left w:val="none" w:sz="0" w:space="0" w:color="auto"/>
            <w:bottom w:val="none" w:sz="0" w:space="0" w:color="auto"/>
            <w:right w:val="none" w:sz="0" w:space="0" w:color="auto"/>
          </w:divBdr>
        </w:div>
        <w:div w:id="1499464546">
          <w:marLeft w:val="0"/>
          <w:marRight w:val="0"/>
          <w:marTop w:val="0"/>
          <w:marBottom w:val="0"/>
          <w:divBdr>
            <w:top w:val="none" w:sz="0" w:space="0" w:color="auto"/>
            <w:left w:val="none" w:sz="0" w:space="0" w:color="auto"/>
            <w:bottom w:val="none" w:sz="0" w:space="0" w:color="auto"/>
            <w:right w:val="none" w:sz="0" w:space="0" w:color="auto"/>
          </w:divBdr>
        </w:div>
        <w:div w:id="1570380250">
          <w:marLeft w:val="0"/>
          <w:marRight w:val="0"/>
          <w:marTop w:val="0"/>
          <w:marBottom w:val="0"/>
          <w:divBdr>
            <w:top w:val="none" w:sz="0" w:space="0" w:color="auto"/>
            <w:left w:val="none" w:sz="0" w:space="0" w:color="auto"/>
            <w:bottom w:val="none" w:sz="0" w:space="0" w:color="auto"/>
            <w:right w:val="none" w:sz="0" w:space="0" w:color="auto"/>
          </w:divBdr>
        </w:div>
        <w:div w:id="1614286462">
          <w:marLeft w:val="0"/>
          <w:marRight w:val="0"/>
          <w:marTop w:val="0"/>
          <w:marBottom w:val="0"/>
          <w:divBdr>
            <w:top w:val="none" w:sz="0" w:space="0" w:color="auto"/>
            <w:left w:val="none" w:sz="0" w:space="0" w:color="auto"/>
            <w:bottom w:val="none" w:sz="0" w:space="0" w:color="auto"/>
            <w:right w:val="none" w:sz="0" w:space="0" w:color="auto"/>
          </w:divBdr>
        </w:div>
        <w:div w:id="1619293204">
          <w:marLeft w:val="0"/>
          <w:marRight w:val="0"/>
          <w:marTop w:val="0"/>
          <w:marBottom w:val="0"/>
          <w:divBdr>
            <w:top w:val="none" w:sz="0" w:space="0" w:color="auto"/>
            <w:left w:val="none" w:sz="0" w:space="0" w:color="auto"/>
            <w:bottom w:val="none" w:sz="0" w:space="0" w:color="auto"/>
            <w:right w:val="none" w:sz="0" w:space="0" w:color="auto"/>
          </w:divBdr>
        </w:div>
        <w:div w:id="1640383326">
          <w:marLeft w:val="0"/>
          <w:marRight w:val="0"/>
          <w:marTop w:val="0"/>
          <w:marBottom w:val="0"/>
          <w:divBdr>
            <w:top w:val="none" w:sz="0" w:space="0" w:color="auto"/>
            <w:left w:val="none" w:sz="0" w:space="0" w:color="auto"/>
            <w:bottom w:val="none" w:sz="0" w:space="0" w:color="auto"/>
            <w:right w:val="none" w:sz="0" w:space="0" w:color="auto"/>
          </w:divBdr>
        </w:div>
        <w:div w:id="1645891045">
          <w:marLeft w:val="0"/>
          <w:marRight w:val="0"/>
          <w:marTop w:val="0"/>
          <w:marBottom w:val="0"/>
          <w:divBdr>
            <w:top w:val="none" w:sz="0" w:space="0" w:color="auto"/>
            <w:left w:val="none" w:sz="0" w:space="0" w:color="auto"/>
            <w:bottom w:val="none" w:sz="0" w:space="0" w:color="auto"/>
            <w:right w:val="none" w:sz="0" w:space="0" w:color="auto"/>
          </w:divBdr>
        </w:div>
        <w:div w:id="1650741035">
          <w:marLeft w:val="0"/>
          <w:marRight w:val="0"/>
          <w:marTop w:val="0"/>
          <w:marBottom w:val="0"/>
          <w:divBdr>
            <w:top w:val="none" w:sz="0" w:space="0" w:color="auto"/>
            <w:left w:val="none" w:sz="0" w:space="0" w:color="auto"/>
            <w:bottom w:val="none" w:sz="0" w:space="0" w:color="auto"/>
            <w:right w:val="none" w:sz="0" w:space="0" w:color="auto"/>
          </w:divBdr>
        </w:div>
        <w:div w:id="1655986653">
          <w:marLeft w:val="0"/>
          <w:marRight w:val="0"/>
          <w:marTop w:val="0"/>
          <w:marBottom w:val="0"/>
          <w:divBdr>
            <w:top w:val="none" w:sz="0" w:space="0" w:color="auto"/>
            <w:left w:val="none" w:sz="0" w:space="0" w:color="auto"/>
            <w:bottom w:val="none" w:sz="0" w:space="0" w:color="auto"/>
            <w:right w:val="none" w:sz="0" w:space="0" w:color="auto"/>
          </w:divBdr>
        </w:div>
        <w:div w:id="1660576744">
          <w:marLeft w:val="0"/>
          <w:marRight w:val="0"/>
          <w:marTop w:val="0"/>
          <w:marBottom w:val="0"/>
          <w:divBdr>
            <w:top w:val="none" w:sz="0" w:space="0" w:color="auto"/>
            <w:left w:val="none" w:sz="0" w:space="0" w:color="auto"/>
            <w:bottom w:val="none" w:sz="0" w:space="0" w:color="auto"/>
            <w:right w:val="none" w:sz="0" w:space="0" w:color="auto"/>
          </w:divBdr>
        </w:div>
        <w:div w:id="1691489268">
          <w:marLeft w:val="0"/>
          <w:marRight w:val="0"/>
          <w:marTop w:val="0"/>
          <w:marBottom w:val="0"/>
          <w:divBdr>
            <w:top w:val="none" w:sz="0" w:space="0" w:color="auto"/>
            <w:left w:val="none" w:sz="0" w:space="0" w:color="auto"/>
            <w:bottom w:val="none" w:sz="0" w:space="0" w:color="auto"/>
            <w:right w:val="none" w:sz="0" w:space="0" w:color="auto"/>
          </w:divBdr>
        </w:div>
        <w:div w:id="1718973462">
          <w:marLeft w:val="0"/>
          <w:marRight w:val="0"/>
          <w:marTop w:val="0"/>
          <w:marBottom w:val="0"/>
          <w:divBdr>
            <w:top w:val="none" w:sz="0" w:space="0" w:color="auto"/>
            <w:left w:val="none" w:sz="0" w:space="0" w:color="auto"/>
            <w:bottom w:val="none" w:sz="0" w:space="0" w:color="auto"/>
            <w:right w:val="none" w:sz="0" w:space="0" w:color="auto"/>
          </w:divBdr>
        </w:div>
        <w:div w:id="1720013365">
          <w:marLeft w:val="0"/>
          <w:marRight w:val="0"/>
          <w:marTop w:val="0"/>
          <w:marBottom w:val="0"/>
          <w:divBdr>
            <w:top w:val="none" w:sz="0" w:space="0" w:color="auto"/>
            <w:left w:val="none" w:sz="0" w:space="0" w:color="auto"/>
            <w:bottom w:val="none" w:sz="0" w:space="0" w:color="auto"/>
            <w:right w:val="none" w:sz="0" w:space="0" w:color="auto"/>
          </w:divBdr>
        </w:div>
        <w:div w:id="1737587812">
          <w:marLeft w:val="0"/>
          <w:marRight w:val="0"/>
          <w:marTop w:val="0"/>
          <w:marBottom w:val="0"/>
          <w:divBdr>
            <w:top w:val="none" w:sz="0" w:space="0" w:color="auto"/>
            <w:left w:val="none" w:sz="0" w:space="0" w:color="auto"/>
            <w:bottom w:val="none" w:sz="0" w:space="0" w:color="auto"/>
            <w:right w:val="none" w:sz="0" w:space="0" w:color="auto"/>
          </w:divBdr>
        </w:div>
        <w:div w:id="1766607074">
          <w:marLeft w:val="0"/>
          <w:marRight w:val="0"/>
          <w:marTop w:val="0"/>
          <w:marBottom w:val="0"/>
          <w:divBdr>
            <w:top w:val="none" w:sz="0" w:space="0" w:color="auto"/>
            <w:left w:val="none" w:sz="0" w:space="0" w:color="auto"/>
            <w:bottom w:val="none" w:sz="0" w:space="0" w:color="auto"/>
            <w:right w:val="none" w:sz="0" w:space="0" w:color="auto"/>
          </w:divBdr>
        </w:div>
        <w:div w:id="1796481475">
          <w:marLeft w:val="0"/>
          <w:marRight w:val="0"/>
          <w:marTop w:val="0"/>
          <w:marBottom w:val="0"/>
          <w:divBdr>
            <w:top w:val="none" w:sz="0" w:space="0" w:color="auto"/>
            <w:left w:val="none" w:sz="0" w:space="0" w:color="auto"/>
            <w:bottom w:val="none" w:sz="0" w:space="0" w:color="auto"/>
            <w:right w:val="none" w:sz="0" w:space="0" w:color="auto"/>
          </w:divBdr>
        </w:div>
        <w:div w:id="1849248786">
          <w:marLeft w:val="0"/>
          <w:marRight w:val="0"/>
          <w:marTop w:val="0"/>
          <w:marBottom w:val="0"/>
          <w:divBdr>
            <w:top w:val="none" w:sz="0" w:space="0" w:color="auto"/>
            <w:left w:val="none" w:sz="0" w:space="0" w:color="auto"/>
            <w:bottom w:val="none" w:sz="0" w:space="0" w:color="auto"/>
            <w:right w:val="none" w:sz="0" w:space="0" w:color="auto"/>
          </w:divBdr>
        </w:div>
        <w:div w:id="1857692421">
          <w:marLeft w:val="0"/>
          <w:marRight w:val="0"/>
          <w:marTop w:val="0"/>
          <w:marBottom w:val="0"/>
          <w:divBdr>
            <w:top w:val="none" w:sz="0" w:space="0" w:color="auto"/>
            <w:left w:val="none" w:sz="0" w:space="0" w:color="auto"/>
            <w:bottom w:val="none" w:sz="0" w:space="0" w:color="auto"/>
            <w:right w:val="none" w:sz="0" w:space="0" w:color="auto"/>
          </w:divBdr>
        </w:div>
        <w:div w:id="1913731495">
          <w:marLeft w:val="0"/>
          <w:marRight w:val="0"/>
          <w:marTop w:val="0"/>
          <w:marBottom w:val="0"/>
          <w:divBdr>
            <w:top w:val="none" w:sz="0" w:space="0" w:color="auto"/>
            <w:left w:val="none" w:sz="0" w:space="0" w:color="auto"/>
            <w:bottom w:val="none" w:sz="0" w:space="0" w:color="auto"/>
            <w:right w:val="none" w:sz="0" w:space="0" w:color="auto"/>
          </w:divBdr>
        </w:div>
        <w:div w:id="1948734725">
          <w:marLeft w:val="0"/>
          <w:marRight w:val="0"/>
          <w:marTop w:val="0"/>
          <w:marBottom w:val="0"/>
          <w:divBdr>
            <w:top w:val="none" w:sz="0" w:space="0" w:color="auto"/>
            <w:left w:val="none" w:sz="0" w:space="0" w:color="auto"/>
            <w:bottom w:val="none" w:sz="0" w:space="0" w:color="auto"/>
            <w:right w:val="none" w:sz="0" w:space="0" w:color="auto"/>
          </w:divBdr>
        </w:div>
        <w:div w:id="1971784291">
          <w:marLeft w:val="0"/>
          <w:marRight w:val="0"/>
          <w:marTop w:val="0"/>
          <w:marBottom w:val="0"/>
          <w:divBdr>
            <w:top w:val="none" w:sz="0" w:space="0" w:color="auto"/>
            <w:left w:val="none" w:sz="0" w:space="0" w:color="auto"/>
            <w:bottom w:val="none" w:sz="0" w:space="0" w:color="auto"/>
            <w:right w:val="none" w:sz="0" w:space="0" w:color="auto"/>
          </w:divBdr>
        </w:div>
        <w:div w:id="2009484240">
          <w:marLeft w:val="0"/>
          <w:marRight w:val="0"/>
          <w:marTop w:val="0"/>
          <w:marBottom w:val="0"/>
          <w:divBdr>
            <w:top w:val="none" w:sz="0" w:space="0" w:color="auto"/>
            <w:left w:val="none" w:sz="0" w:space="0" w:color="auto"/>
            <w:bottom w:val="none" w:sz="0" w:space="0" w:color="auto"/>
            <w:right w:val="none" w:sz="0" w:space="0" w:color="auto"/>
          </w:divBdr>
        </w:div>
        <w:div w:id="2049914055">
          <w:marLeft w:val="0"/>
          <w:marRight w:val="0"/>
          <w:marTop w:val="0"/>
          <w:marBottom w:val="0"/>
          <w:divBdr>
            <w:top w:val="none" w:sz="0" w:space="0" w:color="auto"/>
            <w:left w:val="none" w:sz="0" w:space="0" w:color="auto"/>
            <w:bottom w:val="none" w:sz="0" w:space="0" w:color="auto"/>
            <w:right w:val="none" w:sz="0" w:space="0" w:color="auto"/>
          </w:divBdr>
        </w:div>
        <w:div w:id="2057898693">
          <w:marLeft w:val="0"/>
          <w:marRight w:val="0"/>
          <w:marTop w:val="0"/>
          <w:marBottom w:val="0"/>
          <w:divBdr>
            <w:top w:val="none" w:sz="0" w:space="0" w:color="auto"/>
            <w:left w:val="none" w:sz="0" w:space="0" w:color="auto"/>
            <w:bottom w:val="none" w:sz="0" w:space="0" w:color="auto"/>
            <w:right w:val="none" w:sz="0" w:space="0" w:color="auto"/>
          </w:divBdr>
        </w:div>
        <w:div w:id="2091347533">
          <w:marLeft w:val="0"/>
          <w:marRight w:val="0"/>
          <w:marTop w:val="0"/>
          <w:marBottom w:val="0"/>
          <w:divBdr>
            <w:top w:val="none" w:sz="0" w:space="0" w:color="auto"/>
            <w:left w:val="none" w:sz="0" w:space="0" w:color="auto"/>
            <w:bottom w:val="none" w:sz="0" w:space="0" w:color="auto"/>
            <w:right w:val="none" w:sz="0" w:space="0" w:color="auto"/>
          </w:divBdr>
        </w:div>
        <w:div w:id="2093970539">
          <w:marLeft w:val="0"/>
          <w:marRight w:val="0"/>
          <w:marTop w:val="0"/>
          <w:marBottom w:val="0"/>
          <w:divBdr>
            <w:top w:val="none" w:sz="0" w:space="0" w:color="auto"/>
            <w:left w:val="none" w:sz="0" w:space="0" w:color="auto"/>
            <w:bottom w:val="none" w:sz="0" w:space="0" w:color="auto"/>
            <w:right w:val="none" w:sz="0" w:space="0" w:color="auto"/>
          </w:divBdr>
        </w:div>
        <w:div w:id="2100905308">
          <w:marLeft w:val="0"/>
          <w:marRight w:val="0"/>
          <w:marTop w:val="0"/>
          <w:marBottom w:val="0"/>
          <w:divBdr>
            <w:top w:val="none" w:sz="0" w:space="0" w:color="auto"/>
            <w:left w:val="none" w:sz="0" w:space="0" w:color="auto"/>
            <w:bottom w:val="none" w:sz="0" w:space="0" w:color="auto"/>
            <w:right w:val="none" w:sz="0" w:space="0" w:color="auto"/>
          </w:divBdr>
        </w:div>
        <w:div w:id="2104261396">
          <w:marLeft w:val="0"/>
          <w:marRight w:val="0"/>
          <w:marTop w:val="0"/>
          <w:marBottom w:val="0"/>
          <w:divBdr>
            <w:top w:val="none" w:sz="0" w:space="0" w:color="auto"/>
            <w:left w:val="none" w:sz="0" w:space="0" w:color="auto"/>
            <w:bottom w:val="none" w:sz="0" w:space="0" w:color="auto"/>
            <w:right w:val="none" w:sz="0" w:space="0" w:color="auto"/>
          </w:divBdr>
        </w:div>
        <w:div w:id="2104571219">
          <w:marLeft w:val="0"/>
          <w:marRight w:val="0"/>
          <w:marTop w:val="0"/>
          <w:marBottom w:val="0"/>
          <w:divBdr>
            <w:top w:val="none" w:sz="0" w:space="0" w:color="auto"/>
            <w:left w:val="none" w:sz="0" w:space="0" w:color="auto"/>
            <w:bottom w:val="none" w:sz="0" w:space="0" w:color="auto"/>
            <w:right w:val="none" w:sz="0" w:space="0" w:color="auto"/>
          </w:divBdr>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3885312">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04087123">
      <w:bodyDiv w:val="1"/>
      <w:marLeft w:val="0"/>
      <w:marRight w:val="0"/>
      <w:marTop w:val="0"/>
      <w:marBottom w:val="0"/>
      <w:divBdr>
        <w:top w:val="none" w:sz="0" w:space="0" w:color="auto"/>
        <w:left w:val="none" w:sz="0" w:space="0" w:color="auto"/>
        <w:bottom w:val="none" w:sz="0" w:space="0" w:color="auto"/>
        <w:right w:val="none" w:sz="0" w:space="0" w:color="auto"/>
      </w:divBdr>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44200063">
      <w:bodyDiv w:val="1"/>
      <w:marLeft w:val="0"/>
      <w:marRight w:val="0"/>
      <w:marTop w:val="0"/>
      <w:marBottom w:val="0"/>
      <w:divBdr>
        <w:top w:val="none" w:sz="0" w:space="0" w:color="auto"/>
        <w:left w:val="none" w:sz="0" w:space="0" w:color="auto"/>
        <w:bottom w:val="none" w:sz="0" w:space="0" w:color="auto"/>
        <w:right w:val="none" w:sz="0" w:space="0" w:color="auto"/>
      </w:divBdr>
    </w:div>
    <w:div w:id="974145883">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56134858">
      <w:bodyDiv w:val="1"/>
      <w:marLeft w:val="0"/>
      <w:marRight w:val="0"/>
      <w:marTop w:val="0"/>
      <w:marBottom w:val="0"/>
      <w:divBdr>
        <w:top w:val="none" w:sz="0" w:space="0" w:color="auto"/>
        <w:left w:val="none" w:sz="0" w:space="0" w:color="auto"/>
        <w:bottom w:val="none" w:sz="0" w:space="0" w:color="auto"/>
        <w:right w:val="none" w:sz="0" w:space="0" w:color="auto"/>
      </w:divBdr>
    </w:div>
    <w:div w:id="1259291649">
      <w:bodyDiv w:val="1"/>
      <w:marLeft w:val="0"/>
      <w:marRight w:val="0"/>
      <w:marTop w:val="0"/>
      <w:marBottom w:val="0"/>
      <w:divBdr>
        <w:top w:val="none" w:sz="0" w:space="0" w:color="auto"/>
        <w:left w:val="none" w:sz="0" w:space="0" w:color="auto"/>
        <w:bottom w:val="none" w:sz="0" w:space="0" w:color="auto"/>
        <w:right w:val="none" w:sz="0" w:space="0" w:color="auto"/>
      </w:divBdr>
    </w:div>
    <w:div w:id="1323267775">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7582837">
      <w:bodyDiv w:val="1"/>
      <w:marLeft w:val="0"/>
      <w:marRight w:val="0"/>
      <w:marTop w:val="0"/>
      <w:marBottom w:val="0"/>
      <w:divBdr>
        <w:top w:val="none" w:sz="0" w:space="0" w:color="auto"/>
        <w:left w:val="none" w:sz="0" w:space="0" w:color="auto"/>
        <w:bottom w:val="none" w:sz="0" w:space="0" w:color="auto"/>
        <w:right w:val="none" w:sz="0" w:space="0" w:color="auto"/>
      </w:divBdr>
    </w:div>
    <w:div w:id="1781098312">
      <w:bodyDiv w:val="1"/>
      <w:marLeft w:val="0"/>
      <w:marRight w:val="0"/>
      <w:marTop w:val="0"/>
      <w:marBottom w:val="0"/>
      <w:divBdr>
        <w:top w:val="none" w:sz="0" w:space="0" w:color="auto"/>
        <w:left w:val="none" w:sz="0" w:space="0" w:color="auto"/>
        <w:bottom w:val="none" w:sz="0" w:space="0" w:color="auto"/>
        <w:right w:val="none" w:sz="0" w:space="0" w:color="auto"/>
      </w:divBdr>
    </w:div>
    <w:div w:id="1969242290">
      <w:bodyDiv w:val="1"/>
      <w:marLeft w:val="0"/>
      <w:marRight w:val="0"/>
      <w:marTop w:val="0"/>
      <w:marBottom w:val="0"/>
      <w:divBdr>
        <w:top w:val="none" w:sz="0" w:space="0" w:color="auto"/>
        <w:left w:val="none" w:sz="0" w:space="0" w:color="auto"/>
        <w:bottom w:val="none" w:sz="0" w:space="0" w:color="auto"/>
        <w:right w:val="none" w:sz="0" w:space="0" w:color="auto"/>
      </w:divBdr>
    </w:div>
    <w:div w:id="2044018120">
      <w:bodyDiv w:val="1"/>
      <w:marLeft w:val="0"/>
      <w:marRight w:val="0"/>
      <w:marTop w:val="0"/>
      <w:marBottom w:val="0"/>
      <w:divBdr>
        <w:top w:val="none" w:sz="0" w:space="0" w:color="auto"/>
        <w:left w:val="none" w:sz="0" w:space="0" w:color="auto"/>
        <w:bottom w:val="none" w:sz="0" w:space="0" w:color="auto"/>
        <w:right w:val="none" w:sz="0" w:space="0" w:color="auto"/>
      </w:divBdr>
      <w:divsChild>
        <w:div w:id="464784431">
          <w:marLeft w:val="0"/>
          <w:marRight w:val="0"/>
          <w:marTop w:val="0"/>
          <w:marBottom w:val="0"/>
          <w:divBdr>
            <w:top w:val="none" w:sz="0" w:space="0" w:color="auto"/>
            <w:left w:val="none" w:sz="0" w:space="0" w:color="auto"/>
            <w:bottom w:val="none" w:sz="0" w:space="0" w:color="auto"/>
            <w:right w:val="none" w:sz="0" w:space="0" w:color="auto"/>
          </w:divBdr>
          <w:divsChild>
            <w:div w:id="982273377">
              <w:marLeft w:val="0"/>
              <w:marRight w:val="0"/>
              <w:marTop w:val="0"/>
              <w:marBottom w:val="0"/>
              <w:divBdr>
                <w:top w:val="none" w:sz="0" w:space="0" w:color="auto"/>
                <w:left w:val="none" w:sz="0" w:space="0" w:color="auto"/>
                <w:bottom w:val="none" w:sz="0" w:space="0" w:color="auto"/>
                <w:right w:val="none" w:sz="0" w:space="0" w:color="auto"/>
              </w:divBdr>
              <w:divsChild>
                <w:div w:id="1878394618">
                  <w:marLeft w:val="0"/>
                  <w:marRight w:val="0"/>
                  <w:marTop w:val="0"/>
                  <w:marBottom w:val="0"/>
                  <w:divBdr>
                    <w:top w:val="none" w:sz="0" w:space="0" w:color="auto"/>
                    <w:left w:val="none" w:sz="0" w:space="0" w:color="auto"/>
                    <w:bottom w:val="none" w:sz="0" w:space="0" w:color="auto"/>
                    <w:right w:val="none" w:sz="0" w:space="0" w:color="auto"/>
                  </w:divBdr>
                  <w:divsChild>
                    <w:div w:id="207782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0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3654">
      <w:bodyDiv w:val="1"/>
      <w:marLeft w:val="0"/>
      <w:marRight w:val="0"/>
      <w:marTop w:val="0"/>
      <w:marBottom w:val="0"/>
      <w:divBdr>
        <w:top w:val="none" w:sz="0" w:space="0" w:color="auto"/>
        <w:left w:val="none" w:sz="0" w:space="0" w:color="auto"/>
        <w:bottom w:val="none" w:sz="0" w:space="0" w:color="auto"/>
        <w:right w:val="none" w:sz="0" w:space="0" w:color="auto"/>
      </w:divBdr>
    </w:div>
    <w:div w:id="2048294664">
      <w:bodyDiv w:val="1"/>
      <w:marLeft w:val="0"/>
      <w:marRight w:val="0"/>
      <w:marTop w:val="0"/>
      <w:marBottom w:val="0"/>
      <w:divBdr>
        <w:top w:val="none" w:sz="0" w:space="0" w:color="auto"/>
        <w:left w:val="none" w:sz="0" w:space="0" w:color="auto"/>
        <w:bottom w:val="none" w:sz="0" w:space="0" w:color="auto"/>
        <w:right w:val="none" w:sz="0" w:space="0" w:color="auto"/>
      </w:divBdr>
    </w:div>
    <w:div w:id="2049455566">
      <w:bodyDiv w:val="1"/>
      <w:marLeft w:val="0"/>
      <w:marRight w:val="0"/>
      <w:marTop w:val="0"/>
      <w:marBottom w:val="0"/>
      <w:divBdr>
        <w:top w:val="none" w:sz="0" w:space="0" w:color="auto"/>
        <w:left w:val="none" w:sz="0" w:space="0" w:color="auto"/>
        <w:bottom w:val="none" w:sz="0" w:space="0" w:color="auto"/>
        <w:right w:val="none" w:sz="0" w:space="0" w:color="auto"/>
      </w:divBdr>
    </w:div>
    <w:div w:id="2112115996">
      <w:bodyDiv w:val="1"/>
      <w:marLeft w:val="0"/>
      <w:marRight w:val="0"/>
      <w:marTop w:val="0"/>
      <w:marBottom w:val="0"/>
      <w:divBdr>
        <w:top w:val="none" w:sz="0" w:space="0" w:color="auto"/>
        <w:left w:val="none" w:sz="0" w:space="0" w:color="auto"/>
        <w:bottom w:val="none" w:sz="0" w:space="0" w:color="auto"/>
        <w:right w:val="none" w:sz="0" w:space="0" w:color="auto"/>
      </w:divBdr>
    </w:div>
    <w:div w:id="212980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olerance.org/classroom-resources" TargetMode="External"/><Relationship Id="rId18" Type="http://schemas.openxmlformats.org/officeDocument/2006/relationships/hyperlink" Target="http://www.campusprideindex.org" TargetMode="External"/><Relationship Id="rId26" Type="http://schemas.openxmlformats.org/officeDocument/2006/relationships/hyperlink" Target="https://www.campuspride.org/tpc-womens-colleges/" TargetMode="External"/><Relationship Id="rId39" Type="http://schemas.openxmlformats.org/officeDocument/2006/relationships/hyperlink" Target="http://www.hrc.org/resources/scholarship-database" TargetMode="External"/><Relationship Id="rId21" Type="http://schemas.openxmlformats.org/officeDocument/2006/relationships/hyperlink" Target="https://www.campuspride.org/tpc-employee-health/" TargetMode="External"/><Relationship Id="rId34" Type="http://schemas.openxmlformats.org/officeDocument/2006/relationships/hyperlink" Target="https://www.campuspride.org/colleges-and-universities-with-lgbtq-identity-questions-as-an-option-on-admission-applications-enrollment-forms/" TargetMode="External"/><Relationship Id="rId42" Type="http://schemas.openxmlformats.org/officeDocument/2006/relationships/hyperlink" Target="https://studentaidhelp.ed.gov/app/home/site/studentaid" TargetMode="External"/><Relationship Id="rId47" Type="http://schemas.openxmlformats.org/officeDocument/2006/relationships/hyperlink" Target="http://www.eeoc.gov/laws/statutes/titlevii.cfm" TargetMode="External"/><Relationship Id="rId50" Type="http://schemas.openxmlformats.org/officeDocument/2006/relationships/hyperlink" Target="http://apps.leg.wa.gov/wac/default.aspx?cite=392-190" TargetMode="External"/><Relationship Id="rId55" Type="http://schemas.openxmlformats.org/officeDocument/2006/relationships/hyperlink" Target="http://apps.leg.wa.gov/wac/default.aspx?cite=392-190" TargetMode="External"/><Relationship Id="rId63" Type="http://schemas.openxmlformats.org/officeDocument/2006/relationships/hyperlink" Target="http://www.k12.wa.us/equity/CivilRights/default.aspx" TargetMode="External"/><Relationship Id="rId68" Type="http://schemas.openxmlformats.org/officeDocument/2006/relationships/hyperlink" Target="http://www.lambdalegal.org/know-your-rights/transgender/ferpa-faq" TargetMode="External"/><Relationship Id="rId76" Type="http://schemas.openxmlformats.org/officeDocument/2006/relationships/hyperlink" Target="http://www.lambdalegal.org/publications/trans-toolkit" TargetMode="External"/><Relationship Id="rId84" Type="http://schemas.openxmlformats.org/officeDocument/2006/relationships/hyperlink" Target="http://www.transequality.org/documents/state/washington" TargetMode="External"/><Relationship Id="rId89" Type="http://schemas.openxmlformats.org/officeDocument/2006/relationships/hyperlink" Target="http://leg.wa.gov/" TargetMode="External"/><Relationship Id="rId7" Type="http://schemas.openxmlformats.org/officeDocument/2006/relationships/footnotes" Target="footnotes.xml"/><Relationship Id="rId71" Type="http://schemas.openxmlformats.org/officeDocument/2006/relationships/hyperlink" Target="http://www2.ed.gov/policy/gen/reg/ferpa/index.html"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campuspride.org/tpc-student-health-insurance/" TargetMode="External"/><Relationship Id="rId11" Type="http://schemas.openxmlformats.org/officeDocument/2006/relationships/image" Target="media/image2.PNG"/><Relationship Id="rId24" Type="http://schemas.openxmlformats.org/officeDocument/2006/relationships/hyperlink" Target="https://www.campuspride.org/colleges-and-universities-with-trans-inclusive-intramural-athletic-policy/" TargetMode="External"/><Relationship Id="rId32" Type="http://schemas.openxmlformats.org/officeDocument/2006/relationships/hyperlink" Target="https://www.campuspride.org/tpc-records/" TargetMode="External"/><Relationship Id="rId37" Type="http://schemas.openxmlformats.org/officeDocument/2006/relationships/hyperlink" Target="http://www.hrc.org/resources/scholarship-database" TargetMode="External"/><Relationship Id="rId40" Type="http://schemas.openxmlformats.org/officeDocument/2006/relationships/hyperlink" Target="http://www.campuspride.org/national-scholarship-database/" TargetMode="External"/><Relationship Id="rId45" Type="http://schemas.openxmlformats.org/officeDocument/2006/relationships/hyperlink" Target="http://www.ed.gov/policy/rights/guid/ocr/sexoverview.html" TargetMode="External"/><Relationship Id="rId53" Type="http://schemas.openxmlformats.org/officeDocument/2006/relationships/hyperlink" Target="http://www2.ed.gov/policy/rights/guid/ocr/sexoverview.html" TargetMode="External"/><Relationship Id="rId58" Type="http://schemas.openxmlformats.org/officeDocument/2006/relationships/hyperlink" Target="http://www2.ed.gov/policy/rights/guid/ocr/sexoverview.html" TargetMode="External"/><Relationship Id="rId66" Type="http://schemas.openxmlformats.org/officeDocument/2006/relationships/hyperlink" Target="https://www.justice.gov/opa/file/850996/download" TargetMode="External"/><Relationship Id="rId74" Type="http://schemas.openxmlformats.org/officeDocument/2006/relationships/hyperlink" Target="http://www.campuspride.org/tpc/" TargetMode="External"/><Relationship Id="rId79" Type="http://schemas.openxmlformats.org/officeDocument/2006/relationships/hyperlink" Target="http://www.campusprideindex.org" TargetMode="External"/><Relationship Id="rId87" Type="http://schemas.openxmlformats.org/officeDocument/2006/relationships/hyperlink" Target="http://www.tolerance.org/" TargetMode="External"/><Relationship Id="rId5" Type="http://schemas.openxmlformats.org/officeDocument/2006/relationships/settings" Target="settings.xml"/><Relationship Id="rId61" Type="http://schemas.openxmlformats.org/officeDocument/2006/relationships/hyperlink" Target="http://apps.leg.wa.gov/rcw/default.aspx?Cite=49.60" TargetMode="External"/><Relationship Id="rId82" Type="http://schemas.openxmlformats.org/officeDocument/2006/relationships/hyperlink" Target="http://www.hrc.org/resources/applying-to-college-as-an-lgbt-student" TargetMode="External"/><Relationship Id="rId90" Type="http://schemas.openxmlformats.org/officeDocument/2006/relationships/fontTable" Target="fontTable.xml"/><Relationship Id="rId19" Type="http://schemas.openxmlformats.org/officeDocument/2006/relationships/hyperlink" Target="https://www.campuspride.org/tpc-nondiscrimination/" TargetMode="External"/><Relationship Id="rId14" Type="http://schemas.openxmlformats.org/officeDocument/2006/relationships/header" Target="header1.xml"/><Relationship Id="rId22" Type="http://schemas.openxmlformats.org/officeDocument/2006/relationships/hyperlink" Target="https://www.campuspride.org/tpc-gih/" TargetMode="External"/><Relationship Id="rId27" Type="http://schemas.openxmlformats.org/officeDocument/2006/relationships/hyperlink" Target="https://www.campuspride.org/tpc/" TargetMode="External"/><Relationship Id="rId30" Type="http://schemas.openxmlformats.org/officeDocument/2006/relationships/hyperlink" Target="https://www.campuspride.org/tpc-employee-health/" TargetMode="External"/><Relationship Id="rId35" Type="http://schemas.openxmlformats.org/officeDocument/2006/relationships/hyperlink" Target="https://www.campuspride.org/tpc-womens-colleges/" TargetMode="External"/><Relationship Id="rId43" Type="http://schemas.openxmlformats.org/officeDocument/2006/relationships/hyperlink" Target="http://www.transequality.org/documents/state/washington" TargetMode="External"/><Relationship Id="rId48" Type="http://schemas.openxmlformats.org/officeDocument/2006/relationships/hyperlink" Target="http://apps.leg.wa.gov/rcw/default.aspx?cite=28A.640" TargetMode="External"/><Relationship Id="rId56" Type="http://schemas.openxmlformats.org/officeDocument/2006/relationships/hyperlink" Target="http://apps.leg.wa.gov/rcw/default.aspx?Cite=49.60" TargetMode="External"/><Relationship Id="rId64" Type="http://schemas.openxmlformats.org/officeDocument/2006/relationships/hyperlink" Target="https://www2.ed.gov/about/offices/list/ocr/lgbt.html" TargetMode="External"/><Relationship Id="rId69" Type="http://schemas.openxmlformats.org/officeDocument/2006/relationships/hyperlink" Target="http://apps.leg.wa.gov/RCW/default.aspx?cite=28A.640" TargetMode="External"/><Relationship Id="rId77" Type="http://schemas.openxmlformats.org/officeDocument/2006/relationships/hyperlink" Target="http://www.lambdalegal.org/know-your-rights/transgender/in-college-faq" TargetMode="External"/><Relationship Id="rId8" Type="http://schemas.openxmlformats.org/officeDocument/2006/relationships/endnotes" Target="endnotes.xml"/><Relationship Id="rId51" Type="http://schemas.openxmlformats.org/officeDocument/2006/relationships/hyperlink" Target="http://apps.leg.wa.gov/rcw/default.aspx?Cite=49.60" TargetMode="External"/><Relationship Id="rId72" Type="http://schemas.openxmlformats.org/officeDocument/2006/relationships/hyperlink" Target="https://www.aclu-wa.org/docs/rights-transgender-people-washington-state" TargetMode="External"/><Relationship Id="rId80" Type="http://schemas.openxmlformats.org/officeDocument/2006/relationships/hyperlink" Target="https://studentaid.ed.gov/sa/" TargetMode="External"/><Relationship Id="rId85" Type="http://schemas.openxmlformats.org/officeDocument/2006/relationships/hyperlink" Target="http://www.k12.wa.us/" TargetMode="External"/><Relationship Id="rId3" Type="http://schemas.openxmlformats.org/officeDocument/2006/relationships/numbering" Target="numbering.xml"/><Relationship Id="rId12" Type="http://schemas.openxmlformats.org/officeDocument/2006/relationships/hyperlink" Target="https://www.tolerance.org/classroom-resources" TargetMode="External"/><Relationship Id="rId17" Type="http://schemas.openxmlformats.org/officeDocument/2006/relationships/hyperlink" Target="http://www.campusprideindex.org" TargetMode="External"/><Relationship Id="rId25" Type="http://schemas.openxmlformats.org/officeDocument/2006/relationships/hyperlink" Target="https://www.campuspride.org/colleges-and-universities-with-lgbtq-identity-questions-as-an-option-on-admission-applications-enrollment-forms/" TargetMode="External"/><Relationship Id="rId33" Type="http://schemas.openxmlformats.org/officeDocument/2006/relationships/hyperlink" Target="https://www.campuspride.org/colleges-and-universities-with-trans-inclusive-intramural-athletic-policy/" TargetMode="External"/><Relationship Id="rId38" Type="http://schemas.openxmlformats.org/officeDocument/2006/relationships/hyperlink" Target="http://www.campuspride.org/national-scholarship-database/" TargetMode="External"/><Relationship Id="rId46" Type="http://schemas.openxmlformats.org/officeDocument/2006/relationships/hyperlink" Target="http://www.justice.gov/crt/about/edu/types.php" TargetMode="External"/><Relationship Id="rId59" Type="http://schemas.openxmlformats.org/officeDocument/2006/relationships/hyperlink" Target="http://apps.leg.wa.gov/rcw/default.aspx?cite=28A.642" TargetMode="External"/><Relationship Id="rId67" Type="http://schemas.openxmlformats.org/officeDocument/2006/relationships/hyperlink" Target="http://www2.ed.gov/about/offices/list/oese/oshs/emergingpractices.pdf" TargetMode="External"/><Relationship Id="rId20" Type="http://schemas.openxmlformats.org/officeDocument/2006/relationships/hyperlink" Target="https://www.campuspride.org/tpc-student-health-insurance/" TargetMode="External"/><Relationship Id="rId41" Type="http://schemas.openxmlformats.org/officeDocument/2006/relationships/hyperlink" Target="http://www.hrc.org/resources/applying-to-college-as-an-LGBTQ-student" TargetMode="External"/><Relationship Id="rId54" Type="http://schemas.openxmlformats.org/officeDocument/2006/relationships/hyperlink" Target="http://apps.leg.wa.gov/rcw/default.aspx?cite=28A.642" TargetMode="External"/><Relationship Id="rId62" Type="http://schemas.openxmlformats.org/officeDocument/2006/relationships/hyperlink" Target="http://www.k12.wa.us/Equity/ProhibitingDiscrimination.aspx" TargetMode="External"/><Relationship Id="rId70" Type="http://schemas.openxmlformats.org/officeDocument/2006/relationships/hyperlink" Target="http://www.gpo.gov/fdsys/pkg/USCODE-2009-title20/pdf/USCODE-2009-title20-chap31-subchapIII-part4-sec1232g.pdf" TargetMode="External"/><Relationship Id="rId75" Type="http://schemas.openxmlformats.org/officeDocument/2006/relationships/hyperlink" Target="http://www.campuspride.org/tpc/" TargetMode="External"/><Relationship Id="rId83" Type="http://schemas.openxmlformats.org/officeDocument/2006/relationships/hyperlink" Target="http://www.lambdalegal.org/" TargetMode="External"/><Relationship Id="rId88" Type="http://schemas.openxmlformats.org/officeDocument/2006/relationships/hyperlink" Target="http://www2.ed.gov/about/offices/list/ocr/docs/tix_dis.html"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campuspride.org/tpc-records/" TargetMode="External"/><Relationship Id="rId28" Type="http://schemas.openxmlformats.org/officeDocument/2006/relationships/hyperlink" Target="https://www.campuspride.org/tpc-nondiscrimination/" TargetMode="External"/><Relationship Id="rId36" Type="http://schemas.openxmlformats.org/officeDocument/2006/relationships/hyperlink" Target="https://www.campuspride.org/tpc/" TargetMode="External"/><Relationship Id="rId49" Type="http://schemas.openxmlformats.org/officeDocument/2006/relationships/hyperlink" Target="http://apps.leg.wa.gov/rcw/default.aspx?cite=28A.642" TargetMode="External"/><Relationship Id="rId57" Type="http://schemas.openxmlformats.org/officeDocument/2006/relationships/hyperlink" Target="http://www.k12.wa.us/Equity/ProhibitingDiscrimination.aspx" TargetMode="External"/><Relationship Id="rId10" Type="http://schemas.microsoft.com/office/2007/relationships/hdphoto" Target="media/hdphoto1.wdp"/><Relationship Id="rId31" Type="http://schemas.openxmlformats.org/officeDocument/2006/relationships/hyperlink" Target="https://www.campuspride.org/tpc-gih/" TargetMode="External"/><Relationship Id="rId44" Type="http://schemas.openxmlformats.org/officeDocument/2006/relationships/hyperlink" Target="https://www.doh.wa.gov/LicensesPermitsandCertificates/BirthDeathMarriageandDivorce/SexDesignationChangeonaBirthCertificate" TargetMode="External"/><Relationship Id="rId52" Type="http://schemas.openxmlformats.org/officeDocument/2006/relationships/hyperlink" Target="http://www.k12.wa.us/Equity/ProhibitingDiscrimination.aspx" TargetMode="External"/><Relationship Id="rId60" Type="http://schemas.openxmlformats.org/officeDocument/2006/relationships/hyperlink" Target="http://apps.leg.wa.gov/wac/default.aspx?cite=392-190" TargetMode="External"/><Relationship Id="rId65" Type="http://schemas.openxmlformats.org/officeDocument/2006/relationships/hyperlink" Target="http://www.lambdalegal.org/know-your-rights/transgender/supporting-trans-students" TargetMode="External"/><Relationship Id="rId73" Type="http://schemas.openxmlformats.org/officeDocument/2006/relationships/hyperlink" Target="https://www.aclu-wa.org/docs/rights-transgender-people-washington-state" TargetMode="External"/><Relationship Id="rId78" Type="http://schemas.openxmlformats.org/officeDocument/2006/relationships/hyperlink" Target="https://aclu-wa.org/" TargetMode="External"/><Relationship Id="rId81" Type="http://schemas.openxmlformats.org/officeDocument/2006/relationships/hyperlink" Target="http://www.glsen.org/cgi-bin/iowa/all/home/index.html" TargetMode="External"/><Relationship Id="rId86" Type="http://schemas.openxmlformats.org/officeDocument/2006/relationships/hyperlink" Target="http://www.safeschoolscoalition.org/"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Newsletter.dotx"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2C0A3404-A3F1-498C-B022-8E0F0F92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4</TotalTime>
  <Pages>12</Pages>
  <Words>4725</Words>
  <Characters>26936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Supporting Transgender Students: COLLEGE ADMISSIONS &amp; FINANCIAL AID</vt:lpstr>
    </vt:vector>
  </TitlesOfParts>
  <Company/>
  <LinksUpToDate>false</LinksUpToDate>
  <CharactersWithSpaces>31598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Transgender Students: COLLEGE ADMISSIONS &amp; FINANCIAL AID</dc:title>
  <dc:subject/>
  <dc:creator>Beth Kelly</dc:creator>
  <cp:keywords/>
  <dc:description/>
  <cp:lastModifiedBy>Kelly, Beth (WSAC)</cp:lastModifiedBy>
  <cp:revision>3</cp:revision>
  <cp:lastPrinted>2016-05-24T20:00:00Z</cp:lastPrinted>
  <dcterms:created xsi:type="dcterms:W3CDTF">2020-08-26T16:46:00Z</dcterms:created>
  <dcterms:modified xsi:type="dcterms:W3CDTF">2020-08-26T16:48:00Z</dcterms:modified>
  <cp:contentStatus>Subtitle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