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0" w:type="pct"/>
        <w:tblLook w:val="0600" w:firstRow="0" w:lastRow="0" w:firstColumn="0" w:lastColumn="0" w:noHBand="1" w:noVBand="1"/>
      </w:tblPr>
      <w:tblGrid>
        <w:gridCol w:w="834"/>
        <w:gridCol w:w="1043"/>
        <w:gridCol w:w="617"/>
        <w:gridCol w:w="240"/>
        <w:gridCol w:w="233"/>
        <w:gridCol w:w="1618"/>
        <w:gridCol w:w="1708"/>
        <w:gridCol w:w="7"/>
        <w:gridCol w:w="782"/>
        <w:gridCol w:w="6"/>
        <w:gridCol w:w="1080"/>
        <w:gridCol w:w="1214"/>
        <w:gridCol w:w="1267"/>
      </w:tblGrid>
      <w:tr w:rsidR="00734A2E" w14:paraId="1A1BA359" w14:textId="77777777" w:rsidTr="002D1033">
        <w:trPr>
          <w:trHeight w:val="454"/>
        </w:trPr>
        <w:tc>
          <w:tcPr>
            <w:tcW w:w="882" w:type="pct"/>
            <w:gridSpan w:val="2"/>
            <w:vAlign w:val="center"/>
          </w:tcPr>
          <w:p w14:paraId="01619DCE" w14:textId="6F0B2EF9" w:rsidR="006C30F5" w:rsidRDefault="000A27A1" w:rsidP="00F263B8">
            <w:pPr>
              <w:pStyle w:val="Info"/>
            </w:pPr>
            <w:r>
              <w:rPr>
                <w:noProof/>
              </w:rPr>
              <w:drawing>
                <wp:anchor distT="0" distB="0" distL="114300" distR="114300" simplePos="0" relativeHeight="251663360" behindDoc="1" locked="0" layoutInCell="1" allowOverlap="1" wp14:anchorId="1B15EACA" wp14:editId="1A02DE23">
                  <wp:simplePos x="0" y="0"/>
                  <wp:positionH relativeFrom="column">
                    <wp:posOffset>2177</wp:posOffset>
                  </wp:positionH>
                  <wp:positionV relativeFrom="paragraph">
                    <wp:posOffset>1179</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2953" w:type="pct"/>
            <w:gridSpan w:val="9"/>
            <w:shd w:val="clear" w:color="auto" w:fill="A9D7B6" w:themeFill="accent5" w:themeFillTint="66"/>
          </w:tcPr>
          <w:p w14:paraId="55B7DB51" w14:textId="6AE12DE3" w:rsidR="006C30F5" w:rsidRPr="006B498E" w:rsidRDefault="002366CD" w:rsidP="00F263B8">
            <w:pPr>
              <w:pStyle w:val="Heading2"/>
            </w:pPr>
            <w:r>
              <w:rPr>
                <w:color w:val="000000" w:themeColor="text1"/>
              </w:rPr>
              <w:t>Ninth</w:t>
            </w:r>
            <w:r w:rsidR="00F263B8" w:rsidRPr="00F263B8">
              <w:rPr>
                <w:color w:val="000000" w:themeColor="text1"/>
              </w:rPr>
              <w:t xml:space="preserve"> Grade |</w:t>
            </w:r>
            <w:r w:rsidR="00A832F7">
              <w:rPr>
                <w:color w:val="000000" w:themeColor="text1"/>
              </w:rPr>
              <w:t xml:space="preserve"> </w:t>
            </w:r>
            <w:r w:rsidR="00DF1C95">
              <w:rPr>
                <w:color w:val="000000" w:themeColor="text1"/>
              </w:rPr>
              <w:t>S</w:t>
            </w:r>
            <w:r w:rsidR="00A832F7">
              <w:rPr>
                <w:color w:val="000000" w:themeColor="text1"/>
              </w:rPr>
              <w:t>ummer</w:t>
            </w:r>
            <w:r w:rsidR="00F263B8" w:rsidRPr="00F263B8">
              <w:rPr>
                <w:color w:val="000000" w:themeColor="text1"/>
              </w:rPr>
              <w:t xml:space="preserve"> Edition </w:t>
            </w:r>
          </w:p>
        </w:tc>
        <w:tc>
          <w:tcPr>
            <w:tcW w:w="1162" w:type="pct"/>
            <w:gridSpan w:val="2"/>
            <w:vAlign w:val="center"/>
          </w:tcPr>
          <w:p w14:paraId="09659BEE" w14:textId="2943D89A" w:rsidR="006C30F5" w:rsidRDefault="006C30F5" w:rsidP="00F263B8"/>
        </w:tc>
      </w:tr>
      <w:tr w:rsidR="006C30F5" w:rsidRPr="004B1CE7" w14:paraId="4359D7EA" w14:textId="77777777" w:rsidTr="002D1033">
        <w:trPr>
          <w:trHeight w:val="288"/>
        </w:trPr>
        <w:tc>
          <w:tcPr>
            <w:tcW w:w="4997" w:type="pct"/>
            <w:gridSpan w:val="13"/>
          </w:tcPr>
          <w:p w14:paraId="23F9DB2B" w14:textId="7552FA48" w:rsidR="006C30F5" w:rsidRPr="004B1CE7" w:rsidRDefault="006C30F5" w:rsidP="00F263B8">
            <w:pPr>
              <w:rPr>
                <w:sz w:val="10"/>
                <w:szCs w:val="10"/>
              </w:rPr>
            </w:pPr>
          </w:p>
        </w:tc>
      </w:tr>
      <w:tr w:rsidR="00734A2E" w14:paraId="178CAC26" w14:textId="77777777" w:rsidTr="002D1033">
        <w:trPr>
          <w:trHeight w:val="864"/>
        </w:trPr>
        <w:tc>
          <w:tcPr>
            <w:tcW w:w="392" w:type="pct"/>
            <w:vAlign w:val="center"/>
          </w:tcPr>
          <w:p w14:paraId="407B2EE0" w14:textId="6BD99ED7" w:rsidR="006C30F5" w:rsidRDefault="006C30F5" w:rsidP="00F263B8"/>
        </w:tc>
        <w:tc>
          <w:tcPr>
            <w:tcW w:w="4013" w:type="pct"/>
            <w:gridSpan w:val="11"/>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592" w:type="pct"/>
          </w:tcPr>
          <w:p w14:paraId="6B2F7AF3" w14:textId="7A8AF8E4" w:rsidR="006C30F5" w:rsidRDefault="006C30F5" w:rsidP="00F263B8"/>
        </w:tc>
      </w:tr>
      <w:tr w:rsidR="006C30F5" w:rsidRPr="004B1CE7" w14:paraId="3A5CC13C" w14:textId="77777777" w:rsidTr="002D1033">
        <w:tc>
          <w:tcPr>
            <w:tcW w:w="4997" w:type="pct"/>
            <w:gridSpan w:val="13"/>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2D1033">
        <w:tc>
          <w:tcPr>
            <w:tcW w:w="4997" w:type="pct"/>
            <w:gridSpan w:val="13"/>
            <w:tcBorders>
              <w:top w:val="single" w:sz="18" w:space="0" w:color="auto"/>
            </w:tcBorders>
            <w:vAlign w:val="center"/>
          </w:tcPr>
          <w:p w14:paraId="3E4C3711" w14:textId="4B3A8E12" w:rsidR="00221E59" w:rsidRPr="000A27A1" w:rsidRDefault="00221E59" w:rsidP="00F263B8">
            <w:pPr>
              <w:pStyle w:val="Info"/>
              <w:jc w:val="right"/>
              <w:rPr>
                <w:rFonts w:hAnsi="Franklin Gothic Demi"/>
                <w:i/>
                <w:iCs/>
                <w:color w:val="C00000"/>
                <w:sz w:val="18"/>
              </w:rPr>
            </w:pPr>
            <w:r w:rsidRPr="000A27A1">
              <w:rPr>
                <w:rFonts w:hAnsi="Franklin Gothic Demi"/>
                <w:i/>
                <w:iCs/>
                <w:color w:val="C00000"/>
                <w:sz w:val="18"/>
              </w:rPr>
              <w:t>Replace with School Contact Info</w:t>
            </w:r>
          </w:p>
        </w:tc>
      </w:tr>
      <w:tr w:rsidR="004B1CE7" w:rsidRPr="004B1CE7" w14:paraId="51EF200A" w14:textId="77777777" w:rsidTr="002D1033">
        <w:trPr>
          <w:trHeight w:val="144"/>
        </w:trPr>
        <w:tc>
          <w:tcPr>
            <w:tcW w:w="4997" w:type="pct"/>
            <w:gridSpan w:val="13"/>
          </w:tcPr>
          <w:p w14:paraId="58125260" w14:textId="77777777" w:rsidR="004B1CE7" w:rsidRPr="004B1CE7" w:rsidRDefault="004B1CE7" w:rsidP="00F263B8">
            <w:pPr>
              <w:rPr>
                <w:sz w:val="16"/>
                <w:szCs w:val="16"/>
              </w:rPr>
            </w:pPr>
          </w:p>
        </w:tc>
      </w:tr>
      <w:tr w:rsidR="00091413" w14:paraId="55E2CE09" w14:textId="77777777" w:rsidTr="002D1033">
        <w:trPr>
          <w:trHeight w:val="6415"/>
        </w:trPr>
        <w:tc>
          <w:tcPr>
            <w:tcW w:w="1172" w:type="pct"/>
            <w:gridSpan w:val="3"/>
            <w:vMerge w:val="restart"/>
          </w:tcPr>
          <w:p w14:paraId="4E2592B1" w14:textId="56E6D8E1" w:rsidR="00091413" w:rsidRDefault="00091413" w:rsidP="00091413">
            <w:pPr>
              <w:rPr>
                <w:rFonts w:ascii="Tw Cen MT" w:eastAsia="Franklin Gothic Book" w:hAnsi="Tw Cen MT" w:cs="Franklin Gothic Book"/>
                <w:b/>
                <w:bCs/>
                <w:color w:val="0D5672" w:themeColor="accent1"/>
                <w:sz w:val="32"/>
                <w:szCs w:val="22"/>
                <w:lang w:bidi="en-US"/>
              </w:rPr>
            </w:pPr>
            <w:r w:rsidRPr="004C1ECE">
              <w:rPr>
                <w:rFonts w:ascii="Tw Cen MT" w:eastAsia="Franklin Gothic Book" w:hAnsi="Tw Cen MT" w:cs="Franklin Gothic Book"/>
                <w:b/>
                <w:bCs/>
                <w:color w:val="0D5672" w:themeColor="accent1"/>
                <w:sz w:val="32"/>
                <w:szCs w:val="22"/>
                <w:lang w:bidi="en-US"/>
              </w:rPr>
              <w:t>SUMMER SLIDE</w:t>
            </w:r>
          </w:p>
          <w:p w14:paraId="6A5A7B87" w14:textId="03BFDD5D" w:rsidR="00091413" w:rsidRDefault="00091413" w:rsidP="00091413">
            <w:pPr>
              <w:pStyle w:val="TextBody"/>
            </w:pPr>
            <w:r>
              <w:t>Research shows that students lose up to two months’ worth of reading and math skills over the summer! Help your teen stay on track this summer with these four suggestions:</w:t>
            </w:r>
          </w:p>
          <w:p w14:paraId="2C41C814" w14:textId="1F9BE2C9" w:rsidR="00091413" w:rsidRPr="00B46979" w:rsidRDefault="00091413" w:rsidP="00091413">
            <w:pPr>
              <w:pStyle w:val="TextBody"/>
            </w:pPr>
            <w:r w:rsidRPr="000A27A1">
              <w:rPr>
                <w:rStyle w:val="QuotenameChar"/>
                <w:b/>
                <w:bCs/>
              </w:rPr>
              <w:t>Summer Learning Programs</w:t>
            </w:r>
            <w:r w:rsidRPr="00B46979">
              <w:rPr>
                <w:rStyle w:val="QuotenameChar"/>
              </w:rPr>
              <w:t>.</w:t>
            </w:r>
            <w:r w:rsidRPr="00B46979">
              <w:t xml:space="preserve"> Check out camps and programs at the school</w:t>
            </w:r>
            <w:r>
              <w:t>, library,</w:t>
            </w:r>
            <w:r w:rsidRPr="00B46979">
              <w:t xml:space="preserve"> or community. Many colleges and universities also offer day or residential programs. Scholarships are usually available.</w:t>
            </w:r>
          </w:p>
          <w:p w14:paraId="72A57F87" w14:textId="62809991" w:rsidR="00091413" w:rsidRPr="00B46979" w:rsidRDefault="00091413" w:rsidP="00091413">
            <w:pPr>
              <w:pStyle w:val="TextBody"/>
            </w:pPr>
            <w:r w:rsidRPr="000A27A1">
              <w:rPr>
                <w:rStyle w:val="QuotenameChar"/>
                <w:b/>
                <w:bCs/>
              </w:rPr>
              <w:t>Volunteer Opportunities, Internships, and Job Shadowing</w:t>
            </w:r>
            <w:r>
              <w:rPr>
                <w:rStyle w:val="QuotenameChar"/>
              </w:rPr>
              <w:t xml:space="preserve"> </w:t>
            </w:r>
            <w:r w:rsidRPr="000A27A1">
              <w:rPr>
                <w:rStyle w:val="QuotenameChar"/>
                <w:color w:val="000000" w:themeColor="text1"/>
              </w:rPr>
              <w:t>are great ways for students to</w:t>
            </w:r>
            <w:r w:rsidRPr="00B46979">
              <w:t xml:space="preserve"> get a taste of a career experience while adding activities to their college applications.</w:t>
            </w:r>
          </w:p>
          <w:p w14:paraId="521A5D32" w14:textId="3A57F902" w:rsidR="00091413" w:rsidRPr="00B46979" w:rsidRDefault="00091413" w:rsidP="00091413">
            <w:pPr>
              <w:pStyle w:val="TextBody"/>
            </w:pPr>
            <w:r w:rsidRPr="000A27A1">
              <w:rPr>
                <w:rStyle w:val="QuotenameChar"/>
                <w:b/>
                <w:bCs/>
              </w:rPr>
              <w:t>Summer Jobs.</w:t>
            </w:r>
            <w:r w:rsidRPr="00B46979">
              <w:t xml:space="preserve"> </w:t>
            </w:r>
            <w:r>
              <w:t>A summer job builds work ethic and skills, even just mowing lawns</w:t>
            </w:r>
            <w:r w:rsidRPr="00B46979">
              <w:t>. Set up a college savings plan that your student can contribute to each paycheck.</w:t>
            </w:r>
          </w:p>
          <w:p w14:paraId="3C9107E7" w14:textId="20954CE3" w:rsidR="00091413" w:rsidRPr="00A14398" w:rsidRDefault="00091413" w:rsidP="002D1033">
            <w:pPr>
              <w:pStyle w:val="TextBody"/>
            </w:pPr>
            <w:r w:rsidRPr="000A27A1">
              <w:rPr>
                <w:rStyle w:val="QuotenameChar"/>
                <w:b/>
                <w:bCs/>
              </w:rPr>
              <w:t>Read!</w:t>
            </w:r>
            <w:r w:rsidRPr="00B46979">
              <w:t xml:space="preserve"> Whatever students decide to do this summer, encourage them to read. Reading opens students' minds and introduces them to other worlds while sharpening important skills such as comprehension and vocabulary. Have your student join a book club at the local library or start their own with friends. </w:t>
            </w:r>
            <w:r>
              <w:t xml:space="preserve">Reading is </w:t>
            </w:r>
            <w:r w:rsidR="00C97463">
              <w:t xml:space="preserve">essential, </w:t>
            </w:r>
            <w:r>
              <w:t>whether it’s the news, graphic novels, or the latest teen fiction series</w:t>
            </w:r>
            <w:r w:rsidRPr="00B46979">
              <w:t>.</w:t>
            </w:r>
          </w:p>
        </w:tc>
        <w:tc>
          <w:tcPr>
            <w:tcW w:w="113" w:type="pct"/>
            <w:vMerge w:val="restart"/>
            <w:tcBorders>
              <w:right w:val="single" w:sz="18" w:space="0" w:color="auto"/>
            </w:tcBorders>
          </w:tcPr>
          <w:p w14:paraId="22E8ECCE" w14:textId="20EADE00" w:rsidR="00091413" w:rsidRDefault="00091413" w:rsidP="00091413">
            <w:pPr>
              <w:pStyle w:val="TextBody"/>
            </w:pPr>
          </w:p>
        </w:tc>
        <w:tc>
          <w:tcPr>
            <w:tcW w:w="110" w:type="pct"/>
            <w:vMerge w:val="restart"/>
            <w:tcBorders>
              <w:left w:val="single" w:sz="18" w:space="0" w:color="auto"/>
            </w:tcBorders>
          </w:tcPr>
          <w:p w14:paraId="5CD1640A" w14:textId="77777777" w:rsidR="00091413" w:rsidRDefault="00091413" w:rsidP="00091413">
            <w:pPr>
              <w:pStyle w:val="TextBody"/>
            </w:pPr>
          </w:p>
        </w:tc>
        <w:tc>
          <w:tcPr>
            <w:tcW w:w="760" w:type="pct"/>
            <w:tcBorders>
              <w:bottom w:val="single" w:sz="18" w:space="0" w:color="auto"/>
            </w:tcBorders>
          </w:tcPr>
          <w:p w14:paraId="67F7BF3A" w14:textId="240C8D3F" w:rsidR="00091413" w:rsidRPr="000A27A1" w:rsidRDefault="00091413" w:rsidP="00091413">
            <w:pPr>
              <w:pStyle w:val="TextBody"/>
              <w:rPr>
                <w:rStyle w:val="Strong"/>
                <w:i/>
                <w:iCs/>
                <w:color w:val="C00000"/>
              </w:rPr>
            </w:pPr>
            <w:r w:rsidRPr="000A27A1">
              <w:rPr>
                <w:rStyle w:val="Strong"/>
                <w:i/>
                <w:iCs/>
                <w:color w:val="C00000"/>
              </w:rPr>
              <w:t xml:space="preserve">Insert Summer Opportunities </w:t>
            </w:r>
          </w:p>
        </w:tc>
        <w:tc>
          <w:tcPr>
            <w:tcW w:w="2845" w:type="pct"/>
            <w:gridSpan w:val="7"/>
          </w:tcPr>
          <w:p w14:paraId="6A8044F8" w14:textId="79ADD54E" w:rsidR="00091413" w:rsidRPr="000A27A1" w:rsidRDefault="00091413" w:rsidP="002D1033">
            <w:pPr>
              <w:pStyle w:val="ListParagraph"/>
              <w:numPr>
                <w:ilvl w:val="0"/>
                <w:numId w:val="2"/>
              </w:numPr>
              <w:ind w:right="1357"/>
              <w:rPr>
                <w:i/>
                <w:iCs/>
                <w:color w:val="C00000"/>
              </w:rPr>
            </w:pPr>
            <w:r w:rsidRPr="000A27A1">
              <w:rPr>
                <w:rStyle w:val="Strong"/>
                <w:i/>
                <w:iCs/>
                <w:color w:val="C00000"/>
              </w:rPr>
              <w:t xml:space="preserve">Insert Summer Opportunities </w:t>
            </w:r>
          </w:p>
        </w:tc>
      </w:tr>
      <w:tr w:rsidR="00091413" w14:paraId="0727042E" w14:textId="77777777" w:rsidTr="002D1033">
        <w:trPr>
          <w:trHeight w:val="432"/>
        </w:trPr>
        <w:tc>
          <w:tcPr>
            <w:tcW w:w="1172" w:type="pct"/>
            <w:gridSpan w:val="3"/>
            <w:vMerge/>
          </w:tcPr>
          <w:p w14:paraId="4BE4CE13" w14:textId="77777777" w:rsidR="00091413" w:rsidRDefault="00091413" w:rsidP="00091413">
            <w:pPr>
              <w:pStyle w:val="TextBody"/>
              <w:rPr>
                <w:noProof/>
              </w:rPr>
            </w:pPr>
          </w:p>
        </w:tc>
        <w:tc>
          <w:tcPr>
            <w:tcW w:w="113" w:type="pct"/>
            <w:vMerge/>
            <w:tcBorders>
              <w:right w:val="single" w:sz="18" w:space="0" w:color="auto"/>
            </w:tcBorders>
          </w:tcPr>
          <w:p w14:paraId="23C2818D" w14:textId="77777777" w:rsidR="00091413" w:rsidRDefault="00091413" w:rsidP="00091413">
            <w:pPr>
              <w:pStyle w:val="TextBody"/>
            </w:pPr>
          </w:p>
        </w:tc>
        <w:tc>
          <w:tcPr>
            <w:tcW w:w="110" w:type="pct"/>
            <w:vMerge/>
            <w:tcBorders>
              <w:left w:val="single" w:sz="18" w:space="0" w:color="auto"/>
            </w:tcBorders>
          </w:tcPr>
          <w:p w14:paraId="77F0BF1C" w14:textId="77777777" w:rsidR="00091413" w:rsidRDefault="00091413" w:rsidP="00091413">
            <w:pPr>
              <w:pStyle w:val="TextBody"/>
            </w:pPr>
          </w:p>
        </w:tc>
        <w:tc>
          <w:tcPr>
            <w:tcW w:w="760" w:type="pct"/>
            <w:tcBorders>
              <w:top w:val="single" w:sz="18" w:space="0" w:color="auto"/>
            </w:tcBorders>
          </w:tcPr>
          <w:p w14:paraId="69E07A8C" w14:textId="77777777" w:rsidR="00091413" w:rsidRPr="00D305C1" w:rsidRDefault="00091413" w:rsidP="00091413">
            <w:pPr>
              <w:pStyle w:val="TextBody"/>
              <w:rPr>
                <w:noProof/>
                <w:lang w:eastAsia="en-AU"/>
              </w:rPr>
            </w:pPr>
          </w:p>
        </w:tc>
        <w:tc>
          <w:tcPr>
            <w:tcW w:w="804" w:type="pct"/>
            <w:gridSpan w:val="2"/>
            <w:tcBorders>
              <w:top w:val="single" w:sz="18" w:space="0" w:color="auto"/>
            </w:tcBorders>
          </w:tcPr>
          <w:p w14:paraId="63CA43EB" w14:textId="77777777" w:rsidR="00091413" w:rsidRDefault="00091413" w:rsidP="00091413">
            <w:pPr>
              <w:pStyle w:val="TextBody"/>
            </w:pPr>
          </w:p>
        </w:tc>
        <w:tc>
          <w:tcPr>
            <w:tcW w:w="369" w:type="pct"/>
            <w:gridSpan w:val="2"/>
            <w:tcBorders>
              <w:top w:val="single" w:sz="18" w:space="0" w:color="auto"/>
            </w:tcBorders>
          </w:tcPr>
          <w:p w14:paraId="619C8043" w14:textId="77777777" w:rsidR="00091413" w:rsidRDefault="00091413" w:rsidP="00091413">
            <w:pPr>
              <w:pStyle w:val="TextBody"/>
            </w:pPr>
          </w:p>
        </w:tc>
        <w:tc>
          <w:tcPr>
            <w:tcW w:w="1671" w:type="pct"/>
            <w:gridSpan w:val="3"/>
            <w:tcBorders>
              <w:top w:val="single" w:sz="18" w:space="0" w:color="auto"/>
            </w:tcBorders>
          </w:tcPr>
          <w:p w14:paraId="4BF167C6" w14:textId="77777777" w:rsidR="00091413" w:rsidRDefault="00091413" w:rsidP="00091413">
            <w:pPr>
              <w:pStyle w:val="TextBody"/>
            </w:pPr>
          </w:p>
        </w:tc>
      </w:tr>
      <w:tr w:rsidR="002D1033" w14:paraId="7B5B841B" w14:textId="77777777" w:rsidTr="002D1033">
        <w:trPr>
          <w:trHeight w:val="4320"/>
        </w:trPr>
        <w:tc>
          <w:tcPr>
            <w:tcW w:w="1172" w:type="pct"/>
            <w:gridSpan w:val="3"/>
            <w:vMerge/>
          </w:tcPr>
          <w:p w14:paraId="5144FECC" w14:textId="77777777" w:rsidR="002D1033" w:rsidRDefault="002D1033" w:rsidP="00091413">
            <w:pPr>
              <w:pStyle w:val="TextBody"/>
              <w:rPr>
                <w:noProof/>
              </w:rPr>
            </w:pPr>
          </w:p>
        </w:tc>
        <w:tc>
          <w:tcPr>
            <w:tcW w:w="113" w:type="pct"/>
            <w:vMerge/>
            <w:tcBorders>
              <w:right w:val="single" w:sz="18" w:space="0" w:color="auto"/>
            </w:tcBorders>
          </w:tcPr>
          <w:p w14:paraId="5EEFACED" w14:textId="77777777" w:rsidR="002D1033" w:rsidRDefault="002D1033" w:rsidP="00091413">
            <w:pPr>
              <w:pStyle w:val="TextBody"/>
            </w:pPr>
          </w:p>
        </w:tc>
        <w:tc>
          <w:tcPr>
            <w:tcW w:w="110" w:type="pct"/>
            <w:vMerge/>
            <w:tcBorders>
              <w:left w:val="single" w:sz="18" w:space="0" w:color="auto"/>
            </w:tcBorders>
          </w:tcPr>
          <w:p w14:paraId="2BC9F19E" w14:textId="77777777" w:rsidR="002D1033" w:rsidRDefault="002D1033" w:rsidP="00091413">
            <w:pPr>
              <w:pStyle w:val="TextBody"/>
            </w:pPr>
          </w:p>
        </w:tc>
        <w:tc>
          <w:tcPr>
            <w:tcW w:w="1562" w:type="pct"/>
            <w:gridSpan w:val="2"/>
            <w:tcBorders>
              <w:right w:val="single" w:sz="18" w:space="0" w:color="auto"/>
            </w:tcBorders>
          </w:tcPr>
          <w:p w14:paraId="37CA7C02" w14:textId="77777777" w:rsidR="002D1033" w:rsidRPr="00FE1655" w:rsidRDefault="00FC3FFE" w:rsidP="002D1033">
            <w:pPr>
              <w:pStyle w:val="TextBody"/>
              <w:ind w:right="343"/>
              <w:jc w:val="center"/>
            </w:pPr>
            <w:sdt>
              <w:sdtPr>
                <w:rPr>
                  <w:rStyle w:val="TitlenormalChar"/>
                </w:rPr>
                <w:id w:val="-615903596"/>
                <w:placeholder>
                  <w:docPart w:val="90FAF44A2F98435DB1F4BFA3D3936782"/>
                </w:placeholder>
                <w:temporary/>
                <w:showingPlcHdr/>
                <w15:appearance w15:val="hidden"/>
              </w:sdtPr>
              <w:sdtEndPr>
                <w:rPr>
                  <w:rStyle w:val="DefaultParagraphFont"/>
                  <w:rFonts w:asciiTheme="minorHAnsi" w:hAnsiTheme="minorHAnsi"/>
                  <w:b w:val="0"/>
                  <w:bCs w:val="0"/>
                  <w:color w:val="000000" w:themeColor="text1"/>
                  <w:sz w:val="20"/>
                </w:rPr>
              </w:sdtEndPr>
              <w:sdtContent>
                <w:r w:rsidR="002D1033" w:rsidRPr="00FE1655">
                  <w:rPr>
                    <w:rStyle w:val="TitlenormalChar"/>
                  </w:rPr>
                  <w:t>UPCOMING EVENTS</w:t>
                </w:r>
              </w:sdtContent>
            </w:sdt>
          </w:p>
          <w:p w14:paraId="6E04345D" w14:textId="77777777" w:rsidR="002D1033" w:rsidRPr="00FE1655" w:rsidRDefault="002D1033" w:rsidP="00091413">
            <w:pPr>
              <w:pStyle w:val="TextBody"/>
            </w:pPr>
          </w:p>
          <w:p w14:paraId="3259B33F" w14:textId="77777777" w:rsidR="002D1033" w:rsidRPr="00FE1655" w:rsidRDefault="00FC3FFE" w:rsidP="00091413">
            <w:pPr>
              <w:pStyle w:val="TextBody"/>
              <w:rPr>
                <w:i/>
                <w:iCs/>
                <w:color w:val="A6A6A6" w:themeColor="background1" w:themeShade="A6"/>
              </w:rPr>
            </w:pPr>
            <w:sdt>
              <w:sdtPr>
                <w:rPr>
                  <w:i/>
                  <w:iCs/>
                  <w:color w:val="A6A6A6" w:themeColor="background1" w:themeShade="A6"/>
                </w:rPr>
                <w:id w:val="-1628150936"/>
                <w:placeholder>
                  <w:docPart w:val="E57C5E21E07746C1A00BB569719A529C"/>
                </w:placeholder>
              </w:sdtPr>
              <w:sdtEndPr/>
              <w:sdtContent>
                <w:sdt>
                  <w:sdtPr>
                    <w:rPr>
                      <w:i/>
                      <w:iCs/>
                      <w:color w:val="A6A6A6" w:themeColor="background1" w:themeShade="A6"/>
                    </w:rPr>
                    <w:id w:val="-1441836109"/>
                    <w:placeholder>
                      <w:docPart w:val="3214A3F607ED4FC78D6BE5631946CD5E"/>
                    </w:placeholder>
                  </w:sdtPr>
                  <w:sdtEndPr/>
                  <w:sdtContent>
                    <w:sdt>
                      <w:sdtPr>
                        <w:rPr>
                          <w:i/>
                          <w:iCs/>
                          <w:color w:val="A6A6A6" w:themeColor="background1" w:themeShade="A6"/>
                        </w:rPr>
                        <w:id w:val="2022893207"/>
                        <w:placeholder>
                          <w:docPart w:val="17F726590C0F474493785B44FF291812"/>
                        </w:placeholder>
                        <w:showingPlcHdr/>
                      </w:sdtPr>
                      <w:sdtEndPr/>
                      <w:sdtContent>
                        <w:r w:rsidR="002D1033" w:rsidRPr="000A27A1">
                          <w:rPr>
                            <w:i/>
                            <w:iCs/>
                            <w:color w:val="C00000"/>
                          </w:rPr>
                          <w:t>Click here to enter text.</w:t>
                        </w:r>
                      </w:sdtContent>
                    </w:sdt>
                  </w:sdtContent>
                </w:sdt>
              </w:sdtContent>
            </w:sdt>
          </w:p>
          <w:p w14:paraId="562E0CFE" w14:textId="77777777" w:rsidR="002D1033" w:rsidRDefault="002D1033" w:rsidP="00091413">
            <w:pPr>
              <w:pStyle w:val="TextBody"/>
            </w:pPr>
          </w:p>
        </w:tc>
        <w:tc>
          <w:tcPr>
            <w:tcW w:w="369" w:type="pct"/>
            <w:gridSpan w:val="2"/>
            <w:tcBorders>
              <w:left w:val="single" w:sz="18" w:space="0" w:color="auto"/>
            </w:tcBorders>
          </w:tcPr>
          <w:p w14:paraId="26318FC3" w14:textId="380941CC" w:rsidR="002D1033" w:rsidRDefault="002D1033" w:rsidP="00091413">
            <w:pPr>
              <w:pStyle w:val="TextBody"/>
            </w:pPr>
          </w:p>
        </w:tc>
        <w:tc>
          <w:tcPr>
            <w:tcW w:w="1671" w:type="pct"/>
            <w:gridSpan w:val="4"/>
          </w:tcPr>
          <w:p w14:paraId="04A458B9" w14:textId="7D1D2895" w:rsidR="002D1033" w:rsidRDefault="002D1033" w:rsidP="00C97463">
            <w:pPr>
              <w:pStyle w:val="TextBody"/>
              <w:jc w:val="center"/>
              <w:rPr>
                <w:rStyle w:val="TitlenormalChar"/>
              </w:rPr>
            </w:pPr>
            <w:r>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2D1033" w:rsidRDefault="002D1033" w:rsidP="00091413">
            <w:pPr>
              <w:pStyle w:val="TextBody"/>
            </w:pPr>
            <w:r>
              <w:rPr>
                <w:rStyle w:val="TitlenormalChar"/>
              </w:rPr>
              <w:t>DID YOU KNOW?</w:t>
            </w:r>
          </w:p>
          <w:p w14:paraId="5E20BCF3" w14:textId="2A370FBF" w:rsidR="002D1033" w:rsidRDefault="002D1033" w:rsidP="00091413">
            <w:pPr>
              <w:pStyle w:val="TextBody"/>
            </w:pPr>
            <w:r>
              <w:t>Unequal access to summer learning opportunities explains more than half of the achievement gap between lower—and higher-income youth</w:t>
            </w:r>
            <w:r w:rsidRPr="00B05ED3">
              <w:t xml:space="preserve">. </w:t>
            </w:r>
          </w:p>
          <w:p w14:paraId="5664FD70" w14:textId="251B3A38" w:rsidR="002D1033" w:rsidRPr="007D2AC9" w:rsidRDefault="002D1033" w:rsidP="002D1033">
            <w:pPr>
              <w:pStyle w:val="TextBody"/>
            </w:pPr>
            <w:r w:rsidRPr="00B05ED3">
              <w:t xml:space="preserve">Find out if your school or community offers summer programming. </w:t>
            </w:r>
          </w:p>
        </w:tc>
      </w:tr>
    </w:tbl>
    <w:p w14:paraId="06C9D143" w14:textId="77777777" w:rsidR="00C97463" w:rsidRDefault="00C97463">
      <w:pPr>
        <w:rPr>
          <w:rFonts w:eastAsia="Franklin Gothic Book" w:cs="Franklin Gothic Book"/>
          <w:color w:val="000000" w:themeColor="text1"/>
          <w:szCs w:val="22"/>
          <w:lang w:bidi="en-US"/>
        </w:rPr>
      </w:pPr>
      <w:r>
        <w:br w:type="page"/>
      </w:r>
    </w:p>
    <w:tbl>
      <w:tblPr>
        <w:tblW w:w="0" w:type="auto"/>
        <w:tblLook w:val="04A0" w:firstRow="1" w:lastRow="0" w:firstColumn="1" w:lastColumn="0" w:noHBand="0" w:noVBand="1"/>
      </w:tblPr>
      <w:tblGrid>
        <w:gridCol w:w="2971"/>
        <w:gridCol w:w="252"/>
        <w:gridCol w:w="3035"/>
        <w:gridCol w:w="372"/>
        <w:gridCol w:w="346"/>
        <w:gridCol w:w="3824"/>
      </w:tblGrid>
      <w:tr w:rsidR="00221E59" w14:paraId="6F1EC783" w14:textId="77777777" w:rsidTr="00FC3FFE">
        <w:trPr>
          <w:trHeight w:val="454"/>
        </w:trPr>
        <w:tc>
          <w:tcPr>
            <w:tcW w:w="10800" w:type="dxa"/>
            <w:gridSpan w:val="6"/>
            <w:tcBorders>
              <w:bottom w:val="single" w:sz="18" w:space="0" w:color="auto"/>
            </w:tcBorders>
          </w:tcPr>
          <w:p w14:paraId="0C643917" w14:textId="40A834BC"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45952" behindDoc="1" locked="0" layoutInCell="1" allowOverlap="1" wp14:anchorId="1AEB0851" wp14:editId="3B348FA0">
                      <wp:simplePos x="0" y="0"/>
                      <wp:positionH relativeFrom="column">
                        <wp:posOffset>-395259</wp:posOffset>
                      </wp:positionH>
                      <wp:positionV relativeFrom="paragraph">
                        <wp:posOffset>-404923</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E01F4EA" id="Group 1383" o:spid="_x0000_s1026" alt="&quot;&quot;" style="position:absolute;margin-left:-31.1pt;margin-top:-31.9pt;width:612pt;height:11in;z-index:-25167052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3FA45D4B" w:rsidR="00221E59" w:rsidRDefault="002366CD" w:rsidP="00221E59">
            <w:r>
              <w:rPr>
                <w:rStyle w:val="Heading2Char"/>
                <w:color w:val="000000" w:themeColor="text1"/>
              </w:rPr>
              <w:t>Nint</w:t>
            </w:r>
            <w:r w:rsidR="002C63BB" w:rsidRPr="002C63BB">
              <w:rPr>
                <w:rStyle w:val="Heading2Char"/>
                <w:color w:val="000000" w:themeColor="text1"/>
              </w:rPr>
              <w:t>h</w:t>
            </w:r>
            <w:r w:rsidR="00221E59" w:rsidRPr="002C63BB">
              <w:rPr>
                <w:rStyle w:val="Heading2Char"/>
                <w:color w:val="000000" w:themeColor="text1"/>
              </w:rPr>
              <w:t xml:space="preserve"> Grade |</w:t>
            </w:r>
            <w:r w:rsidR="00221E59" w:rsidRPr="00883281">
              <w:rPr>
                <w:rStyle w:val="Heading2Char"/>
                <w:color w:val="000000" w:themeColor="text1"/>
              </w:rPr>
              <w:t xml:space="preserve"> </w:t>
            </w:r>
            <w:r w:rsidR="00DF1C95">
              <w:rPr>
                <w:rStyle w:val="Heading2Char"/>
                <w:color w:val="000000" w:themeColor="text1"/>
              </w:rPr>
              <w:t>S</w:t>
            </w:r>
            <w:r w:rsidR="00A832F7">
              <w:rPr>
                <w:rStyle w:val="Heading2Char"/>
                <w:color w:val="000000" w:themeColor="text1"/>
              </w:rPr>
              <w:t>ummer</w:t>
            </w:r>
            <w:r w:rsidR="00221E59" w:rsidRPr="00883281">
              <w:rPr>
                <w:rStyle w:val="Heading2Char"/>
                <w:color w:val="000000" w:themeColor="text1"/>
              </w:rPr>
              <w:t xml:space="preserve"> </w:t>
            </w:r>
            <w:r w:rsidR="00221E59" w:rsidRPr="002C63BB">
              <w:rPr>
                <w:rStyle w:val="Heading2Char"/>
                <w:color w:val="000000" w:themeColor="text1"/>
              </w:rPr>
              <w:t>Edition</w:t>
            </w:r>
            <w:r w:rsidR="00C97463">
              <w:rPr>
                <w:rStyle w:val="Heading2Char"/>
                <w:color w:val="000000" w:themeColor="text1"/>
              </w:rPr>
              <w:t xml:space="preserve"> | gearup.wa.gov </w:t>
            </w:r>
          </w:p>
        </w:tc>
      </w:tr>
      <w:tr w:rsidR="003924B1" w14:paraId="68BDF0EE" w14:textId="77777777" w:rsidTr="00FC3FFE">
        <w:trPr>
          <w:trHeight w:val="144"/>
        </w:trPr>
        <w:tc>
          <w:tcPr>
            <w:tcW w:w="10800" w:type="dxa"/>
            <w:gridSpan w:val="6"/>
            <w:tcBorders>
              <w:top w:val="single" w:sz="18" w:space="0" w:color="auto"/>
            </w:tcBorders>
          </w:tcPr>
          <w:p w14:paraId="0267F210" w14:textId="77777777" w:rsidR="003924B1" w:rsidRPr="004B1CE7" w:rsidRDefault="003924B1" w:rsidP="00BA1778">
            <w:pPr>
              <w:rPr>
                <w:sz w:val="14"/>
                <w:szCs w:val="14"/>
              </w:rPr>
            </w:pPr>
          </w:p>
        </w:tc>
      </w:tr>
      <w:tr w:rsidR="00091413" w14:paraId="41244D99" w14:textId="77777777" w:rsidTr="00742CB4">
        <w:trPr>
          <w:trHeight w:val="205"/>
        </w:trPr>
        <w:tc>
          <w:tcPr>
            <w:tcW w:w="2971" w:type="dxa"/>
          </w:tcPr>
          <w:p w14:paraId="346B1E21" w14:textId="36174636" w:rsidR="00091413" w:rsidRPr="000A27A1" w:rsidRDefault="00091413" w:rsidP="00091413">
            <w:pPr>
              <w:rPr>
                <w:color w:val="C00000"/>
              </w:rPr>
            </w:pPr>
            <w:r w:rsidRPr="000A27A1">
              <w:rPr>
                <w:rStyle w:val="Strong"/>
                <w:i/>
                <w:iCs/>
                <w:color w:val="C00000"/>
              </w:rPr>
              <w:t xml:space="preserve">Insert Summer Opportunities </w:t>
            </w:r>
          </w:p>
        </w:tc>
        <w:tc>
          <w:tcPr>
            <w:tcW w:w="252" w:type="dxa"/>
            <w:vMerge w:val="restart"/>
          </w:tcPr>
          <w:p w14:paraId="3295F43E" w14:textId="220694F4" w:rsidR="00091413" w:rsidRPr="000A27A1" w:rsidRDefault="00091413" w:rsidP="00091413">
            <w:pPr>
              <w:rPr>
                <w:color w:val="C00000"/>
              </w:rPr>
            </w:pPr>
          </w:p>
        </w:tc>
        <w:tc>
          <w:tcPr>
            <w:tcW w:w="7577" w:type="dxa"/>
            <w:gridSpan w:val="4"/>
            <w:vMerge w:val="restart"/>
          </w:tcPr>
          <w:p w14:paraId="622F06CA" w14:textId="18B8E1ED" w:rsidR="00091413" w:rsidRPr="000A27A1" w:rsidRDefault="00091413" w:rsidP="00091413">
            <w:pPr>
              <w:pStyle w:val="ListParagraph"/>
              <w:ind w:left="0"/>
              <w:rPr>
                <w:color w:val="C00000"/>
              </w:rPr>
            </w:pPr>
            <w:r w:rsidRPr="000A27A1">
              <w:rPr>
                <w:rStyle w:val="Strong"/>
                <w:i/>
                <w:iCs/>
                <w:color w:val="C00000"/>
              </w:rPr>
              <w:t xml:space="preserve">Insert Summer Opportunities </w:t>
            </w:r>
          </w:p>
        </w:tc>
      </w:tr>
      <w:tr w:rsidR="00091413" w14:paraId="7CB159C4" w14:textId="77777777" w:rsidTr="00AE15F2">
        <w:trPr>
          <w:trHeight w:val="1141"/>
        </w:trPr>
        <w:tc>
          <w:tcPr>
            <w:tcW w:w="2971" w:type="dxa"/>
            <w:tcBorders>
              <w:bottom w:val="single" w:sz="18" w:space="0" w:color="auto"/>
            </w:tcBorders>
          </w:tcPr>
          <w:p w14:paraId="7CEC2781" w14:textId="77842DE9" w:rsidR="00091413" w:rsidRPr="005175A5" w:rsidRDefault="00091413" w:rsidP="00091413">
            <w:pPr>
              <w:pStyle w:val="TextBody"/>
            </w:pPr>
          </w:p>
        </w:tc>
        <w:tc>
          <w:tcPr>
            <w:tcW w:w="252" w:type="dxa"/>
            <w:vMerge/>
            <w:tcBorders>
              <w:bottom w:val="single" w:sz="18" w:space="0" w:color="auto"/>
            </w:tcBorders>
          </w:tcPr>
          <w:p w14:paraId="0AB48CA8" w14:textId="77777777" w:rsidR="00091413" w:rsidRDefault="00091413" w:rsidP="00091413"/>
        </w:tc>
        <w:tc>
          <w:tcPr>
            <w:tcW w:w="7577" w:type="dxa"/>
            <w:gridSpan w:val="4"/>
            <w:vMerge/>
            <w:tcBorders>
              <w:bottom w:val="single" w:sz="18" w:space="0" w:color="auto"/>
            </w:tcBorders>
          </w:tcPr>
          <w:p w14:paraId="021F0FE4" w14:textId="77777777" w:rsidR="00091413" w:rsidRDefault="00091413" w:rsidP="00091413">
            <w:pPr>
              <w:pStyle w:val="TextBody"/>
            </w:pPr>
          </w:p>
        </w:tc>
      </w:tr>
      <w:tr w:rsidR="00091413" w14:paraId="6FE7AA31" w14:textId="77777777" w:rsidTr="00742CB4">
        <w:trPr>
          <w:trHeight w:val="2527"/>
        </w:trPr>
        <w:tc>
          <w:tcPr>
            <w:tcW w:w="6258" w:type="dxa"/>
            <w:gridSpan w:val="3"/>
          </w:tcPr>
          <w:p w14:paraId="6EA54A0F" w14:textId="26A2E535" w:rsidR="00091413" w:rsidRDefault="00091413" w:rsidP="00091413">
            <w:pPr>
              <w:pStyle w:val="Titlenormal"/>
            </w:pPr>
            <w:r>
              <w:t>STUDENT CHECKLIST</w:t>
            </w:r>
          </w:p>
          <w:p w14:paraId="31A55AA0" w14:textId="77777777" w:rsidR="00516718" w:rsidRPr="00282E39" w:rsidRDefault="00516718" w:rsidP="003D5FB6">
            <w:pPr>
              <w:pStyle w:val="ListParagraph"/>
              <w:numPr>
                <w:ilvl w:val="0"/>
                <w:numId w:val="6"/>
              </w:numPr>
            </w:pPr>
            <w:r w:rsidRPr="00282E39">
              <w:t xml:space="preserve">Make summer plans. Summer is a great time to explore interests and learn new skills — and colleges look for students who pursue meaningful summer activities. </w:t>
            </w:r>
          </w:p>
          <w:p w14:paraId="2F9278DA" w14:textId="7904C5FA" w:rsidR="00516718" w:rsidRPr="00282E39" w:rsidRDefault="00516718" w:rsidP="003D5FB6">
            <w:pPr>
              <w:pStyle w:val="ListParagraph"/>
              <w:numPr>
                <w:ilvl w:val="0"/>
                <w:numId w:val="6"/>
              </w:numPr>
            </w:pPr>
            <w:r w:rsidRPr="00282E39">
              <w:t>Get involved this summer with camps, programs, volunteering</w:t>
            </w:r>
            <w:r w:rsidR="006D482A">
              <w:t>,</w:t>
            </w:r>
            <w:r w:rsidRPr="00282E39">
              <w:t xml:space="preserve"> or even a job. Stick to a (somewhat) regular schedule. Find summer programs, volunteer</w:t>
            </w:r>
            <w:r w:rsidR="006D482A">
              <w:t>,</w:t>
            </w:r>
            <w:r w:rsidRPr="00282E39">
              <w:t xml:space="preserve"> or get a job.</w:t>
            </w:r>
          </w:p>
          <w:p w14:paraId="19CD1360" w14:textId="1ADD1F05" w:rsidR="00091413" w:rsidRPr="00F263B8" w:rsidRDefault="00516718" w:rsidP="003D5FB6">
            <w:pPr>
              <w:pStyle w:val="ListParagraph"/>
              <w:numPr>
                <w:ilvl w:val="0"/>
                <w:numId w:val="6"/>
              </w:numPr>
            </w:pPr>
            <w:r w:rsidRPr="00282E39">
              <w:t>Set up a college savings plan if you haven’t already. Save a percentage of any summer earnings to the account.</w:t>
            </w:r>
          </w:p>
        </w:tc>
        <w:tc>
          <w:tcPr>
            <w:tcW w:w="372" w:type="dxa"/>
            <w:vMerge w:val="restart"/>
            <w:tcBorders>
              <w:right w:val="single" w:sz="18" w:space="0" w:color="auto"/>
            </w:tcBorders>
          </w:tcPr>
          <w:p w14:paraId="6B6D195F" w14:textId="0B081E8C" w:rsidR="00091413" w:rsidRPr="00615348" w:rsidRDefault="00091413" w:rsidP="00091413">
            <w:pPr>
              <w:rPr>
                <w:sz w:val="10"/>
                <w:szCs w:val="10"/>
              </w:rPr>
            </w:pPr>
          </w:p>
        </w:tc>
        <w:tc>
          <w:tcPr>
            <w:tcW w:w="346" w:type="dxa"/>
            <w:vMerge w:val="restart"/>
            <w:tcBorders>
              <w:left w:val="single" w:sz="18" w:space="0" w:color="auto"/>
            </w:tcBorders>
          </w:tcPr>
          <w:p w14:paraId="53734700" w14:textId="0798401D" w:rsidR="00091413" w:rsidRPr="00615348" w:rsidRDefault="00091413" w:rsidP="00091413">
            <w:pPr>
              <w:rPr>
                <w:sz w:val="10"/>
                <w:szCs w:val="10"/>
              </w:rPr>
            </w:pPr>
          </w:p>
        </w:tc>
        <w:tc>
          <w:tcPr>
            <w:tcW w:w="3824" w:type="dxa"/>
            <w:vMerge w:val="restart"/>
          </w:tcPr>
          <w:p w14:paraId="6F50C7C7" w14:textId="4A85DFA8" w:rsidR="00091413" w:rsidRDefault="00091413" w:rsidP="00091413">
            <w:pPr>
              <w:pStyle w:val="Titlenormal"/>
            </w:pPr>
            <w:r>
              <w:t>MYTHBUSTER</w:t>
            </w:r>
          </w:p>
          <w:p w14:paraId="32705AC7" w14:textId="30AD160B" w:rsidR="00091413" w:rsidRPr="00BE72CC" w:rsidRDefault="00091413" w:rsidP="00091413">
            <w:pPr>
              <w:pStyle w:val="TextBody"/>
              <w:rPr>
                <w:rFonts w:ascii="Myriad Pro" w:hAnsi="Myriad Pro" w:cs="Arial"/>
                <w:sz w:val="28"/>
                <w:szCs w:val="26"/>
              </w:rPr>
            </w:pPr>
            <w:r w:rsidRPr="00CA11D3">
              <w:rPr>
                <w:b/>
                <w:bCs/>
              </w:rPr>
              <w:t>MYTH</w:t>
            </w:r>
            <w:r>
              <w:rPr>
                <w:b/>
                <w:bCs/>
              </w:rPr>
              <w:t>:</w:t>
            </w:r>
            <w:r w:rsidRPr="00091413">
              <w:rPr>
                <w:rStyle w:val="TextBodyChar"/>
              </w:rPr>
              <w:t xml:space="preserve"> The best time to visit colleges is after </w:t>
            </w:r>
            <w:r w:rsidR="000A27A1">
              <w:rPr>
                <w:rStyle w:val="TextBodyChar"/>
              </w:rPr>
              <w:t>admission</w:t>
            </w:r>
            <w:r w:rsidRPr="00091413">
              <w:rPr>
                <w:rStyle w:val="TextBodyChar"/>
              </w:rPr>
              <w:t>.</w:t>
            </w:r>
          </w:p>
          <w:p w14:paraId="0224CBA1" w14:textId="7E7B42DD" w:rsidR="00091413" w:rsidRPr="00091413" w:rsidRDefault="00091413" w:rsidP="00091413">
            <w:pPr>
              <w:pStyle w:val="TextBody"/>
            </w:pPr>
            <w:r w:rsidRPr="00091413">
              <w:rPr>
                <w:b/>
                <w:bCs/>
              </w:rPr>
              <w:t>REALITY:</w:t>
            </w:r>
            <w:r w:rsidRPr="00091413">
              <w:t xml:space="preserve"> Many students have fallen for this myth only to find that none of the colleges they were admitted "felt" right when they visited.</w:t>
            </w:r>
          </w:p>
          <w:p w14:paraId="3E954929" w14:textId="56626EDF" w:rsidR="00091413" w:rsidRPr="00091413" w:rsidRDefault="003D5FB6" w:rsidP="00091413">
            <w:pPr>
              <w:pStyle w:val="TextBody"/>
            </w:pPr>
            <w:r>
              <w:t>Students must</w:t>
            </w:r>
            <w:r w:rsidR="00091413">
              <w:t xml:space="preserve"> test the waters before choosing the best college to attend</w:t>
            </w:r>
            <w:r w:rsidR="00091413" w:rsidRPr="00091413">
              <w:t>. Making a college visit and touring the campus can be key in a student's decision to apply.</w:t>
            </w:r>
          </w:p>
          <w:p w14:paraId="14826D9A" w14:textId="77777777" w:rsidR="00091413" w:rsidRPr="00091413" w:rsidRDefault="00091413" w:rsidP="00091413">
            <w:pPr>
              <w:pStyle w:val="TextBody"/>
            </w:pPr>
            <w:r w:rsidRPr="00091413">
              <w:t xml:space="preserve">Don’t wait until your child is a junior or senior to visit campuses. If possible, start exploring campuses now. </w:t>
            </w:r>
          </w:p>
          <w:p w14:paraId="08779DA6" w14:textId="11ED3BDE" w:rsidR="00091413" w:rsidRDefault="003D5FB6" w:rsidP="00091413">
            <w:pPr>
              <w:pStyle w:val="TextBody"/>
            </w:pPr>
            <w:r w:rsidRPr="0098368D">
              <w:rPr>
                <w:noProof/>
              </w:rPr>
              <w:drawing>
                <wp:anchor distT="0" distB="0" distL="114300" distR="114300" simplePos="0" relativeHeight="251662336" behindDoc="0" locked="0" layoutInCell="1" allowOverlap="1" wp14:anchorId="6B6B7B5D" wp14:editId="7B1093C4">
                  <wp:simplePos x="0" y="0"/>
                  <wp:positionH relativeFrom="margin">
                    <wp:posOffset>858256</wp:posOffset>
                  </wp:positionH>
                  <wp:positionV relativeFrom="margin">
                    <wp:posOffset>2764834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091413" w14:paraId="189CF860" w14:textId="77777777" w:rsidTr="00742CB4">
        <w:trPr>
          <w:trHeight w:val="69"/>
        </w:trPr>
        <w:tc>
          <w:tcPr>
            <w:tcW w:w="2971" w:type="dxa"/>
          </w:tcPr>
          <w:p w14:paraId="518A0B8D" w14:textId="20370C86" w:rsidR="00091413" w:rsidRDefault="00091413" w:rsidP="00091413">
            <w:pPr>
              <w:pStyle w:val="TextBody"/>
              <w:ind w:left="0"/>
            </w:pPr>
          </w:p>
        </w:tc>
        <w:tc>
          <w:tcPr>
            <w:tcW w:w="252" w:type="dxa"/>
          </w:tcPr>
          <w:p w14:paraId="37EA0407" w14:textId="77777777" w:rsidR="00091413" w:rsidRDefault="00091413" w:rsidP="00091413">
            <w:pPr>
              <w:pStyle w:val="TextBody"/>
            </w:pPr>
          </w:p>
        </w:tc>
        <w:tc>
          <w:tcPr>
            <w:tcW w:w="3035" w:type="dxa"/>
          </w:tcPr>
          <w:p w14:paraId="27A95849" w14:textId="795C3EAC" w:rsidR="00091413" w:rsidRDefault="00091413" w:rsidP="00091413">
            <w:pPr>
              <w:pStyle w:val="TextBody"/>
            </w:pPr>
          </w:p>
        </w:tc>
        <w:tc>
          <w:tcPr>
            <w:tcW w:w="372" w:type="dxa"/>
            <w:vMerge/>
            <w:tcBorders>
              <w:right w:val="single" w:sz="18" w:space="0" w:color="auto"/>
            </w:tcBorders>
          </w:tcPr>
          <w:p w14:paraId="26ACB6E5" w14:textId="77777777" w:rsidR="00091413" w:rsidRPr="00615348" w:rsidRDefault="00091413" w:rsidP="00091413">
            <w:pPr>
              <w:pStyle w:val="TextBody"/>
            </w:pPr>
          </w:p>
        </w:tc>
        <w:tc>
          <w:tcPr>
            <w:tcW w:w="346" w:type="dxa"/>
            <w:vMerge/>
            <w:tcBorders>
              <w:left w:val="single" w:sz="18" w:space="0" w:color="auto"/>
            </w:tcBorders>
          </w:tcPr>
          <w:p w14:paraId="4AF148E1" w14:textId="77777777" w:rsidR="00091413" w:rsidRPr="00615348" w:rsidRDefault="00091413" w:rsidP="00091413">
            <w:pPr>
              <w:pStyle w:val="TextBody"/>
            </w:pPr>
          </w:p>
        </w:tc>
        <w:tc>
          <w:tcPr>
            <w:tcW w:w="3824" w:type="dxa"/>
            <w:vMerge/>
          </w:tcPr>
          <w:p w14:paraId="2585C9D7" w14:textId="77777777" w:rsidR="00091413" w:rsidRPr="00D305C1" w:rsidRDefault="00091413" w:rsidP="00091413">
            <w:pPr>
              <w:pStyle w:val="TextBody"/>
              <w:rPr>
                <w:noProof/>
                <w:lang w:eastAsia="en-AU"/>
              </w:rPr>
            </w:pPr>
          </w:p>
        </w:tc>
      </w:tr>
      <w:tr w:rsidR="00091413" w14:paraId="5FF5C757" w14:textId="77777777" w:rsidTr="00742CB4">
        <w:trPr>
          <w:trHeight w:val="3600"/>
        </w:trPr>
        <w:tc>
          <w:tcPr>
            <w:tcW w:w="6258" w:type="dxa"/>
            <w:gridSpan w:val="3"/>
          </w:tcPr>
          <w:p w14:paraId="4D7751F6" w14:textId="3A6FB484" w:rsidR="00091413" w:rsidRDefault="00091413" w:rsidP="00091413">
            <w:pPr>
              <w:pStyle w:val="Titlenormal"/>
              <w:ind w:left="0"/>
            </w:pPr>
            <w:r>
              <w:t xml:space="preserve">FAMILY CHECKLIST  </w:t>
            </w:r>
          </w:p>
          <w:p w14:paraId="77659B38" w14:textId="77777777" w:rsidR="003D5FB6" w:rsidRPr="003D5FB6" w:rsidRDefault="003D5FB6" w:rsidP="003D5FB6">
            <w:pPr>
              <w:pStyle w:val="ListParagraph"/>
              <w:numPr>
                <w:ilvl w:val="0"/>
                <w:numId w:val="5"/>
              </w:numPr>
            </w:pPr>
            <w:r w:rsidRPr="003D5FB6">
              <w:t xml:space="preserve">Help your child make summer plans. Summer is a great time to explore interests and learn new skills — and colleges look for students who pursue meaningful summer activities. </w:t>
            </w:r>
          </w:p>
          <w:p w14:paraId="1000A9CF" w14:textId="534367E7" w:rsidR="003D5FB6" w:rsidRPr="003D5FB6" w:rsidRDefault="00C97463" w:rsidP="003D5FB6">
            <w:pPr>
              <w:pStyle w:val="ListParagraph"/>
              <w:numPr>
                <w:ilvl w:val="0"/>
                <w:numId w:val="5"/>
              </w:numPr>
            </w:pPr>
            <w:r>
              <w:t>This summer, help your child stay involved with camps, programs, volunteering, or even a job</w:t>
            </w:r>
            <w:r w:rsidR="003D5FB6" w:rsidRPr="003D5FB6">
              <w:t xml:space="preserve">. Combat boredom and prevent learning loss by insisting your teen stay on a (somewhat) regular schedule and </w:t>
            </w:r>
            <w:r w:rsidR="006D482A">
              <w:t>participate in summer programs, volunteer, or find</w:t>
            </w:r>
            <w:r w:rsidR="003D5FB6" w:rsidRPr="003D5FB6">
              <w:t xml:space="preserve"> a job (even mowing lawns or babysitting!)</w:t>
            </w:r>
          </w:p>
          <w:p w14:paraId="047F246C" w14:textId="38E9685C" w:rsidR="003D5FB6" w:rsidRPr="003D5FB6" w:rsidRDefault="003D5FB6" w:rsidP="003D5FB6">
            <w:pPr>
              <w:pStyle w:val="ListParagraph"/>
              <w:numPr>
                <w:ilvl w:val="0"/>
                <w:numId w:val="5"/>
              </w:numPr>
            </w:pPr>
            <w:r w:rsidRPr="003D5FB6">
              <w:t>Set up a college savings plan if you haven’t already. Talk to your local bank or credit union about setting up a college savings account for your student. Encourage your child to contribute a percentage of summer earnings to the account.</w:t>
            </w:r>
          </w:p>
          <w:p w14:paraId="70988759" w14:textId="119DC475" w:rsidR="00091413" w:rsidRDefault="003D5FB6" w:rsidP="003D5FB6">
            <w:pPr>
              <w:pStyle w:val="ListParagraph"/>
              <w:numPr>
                <w:ilvl w:val="0"/>
                <w:numId w:val="5"/>
              </w:numPr>
            </w:pPr>
            <w:r w:rsidRPr="003D5FB6">
              <w:t xml:space="preserve">If possible, visit college campuses while on vacation. If </w:t>
            </w:r>
            <w:r w:rsidR="006D482A">
              <w:t xml:space="preserve">you </w:t>
            </w:r>
            <w:r w:rsidRPr="003D5FB6">
              <w:t>go on vacation near a college, stop by to walk around and have lunch at a dining hall or near campus. Many schools offer free tours even in summer.</w:t>
            </w:r>
          </w:p>
        </w:tc>
        <w:tc>
          <w:tcPr>
            <w:tcW w:w="372" w:type="dxa"/>
            <w:vMerge/>
            <w:tcBorders>
              <w:right w:val="single" w:sz="18" w:space="0" w:color="auto"/>
            </w:tcBorders>
          </w:tcPr>
          <w:p w14:paraId="268D509A" w14:textId="77777777" w:rsidR="00091413" w:rsidRPr="00615348" w:rsidRDefault="00091413" w:rsidP="00091413">
            <w:pPr>
              <w:rPr>
                <w:sz w:val="10"/>
                <w:szCs w:val="10"/>
              </w:rPr>
            </w:pPr>
          </w:p>
        </w:tc>
        <w:tc>
          <w:tcPr>
            <w:tcW w:w="346" w:type="dxa"/>
            <w:vMerge/>
            <w:tcBorders>
              <w:left w:val="single" w:sz="18" w:space="0" w:color="auto"/>
            </w:tcBorders>
          </w:tcPr>
          <w:p w14:paraId="1659F3BF" w14:textId="77777777" w:rsidR="00091413" w:rsidRPr="00615348" w:rsidRDefault="00091413" w:rsidP="00091413">
            <w:pPr>
              <w:rPr>
                <w:sz w:val="10"/>
                <w:szCs w:val="10"/>
              </w:rPr>
            </w:pPr>
          </w:p>
        </w:tc>
        <w:tc>
          <w:tcPr>
            <w:tcW w:w="3824" w:type="dxa"/>
            <w:vMerge/>
          </w:tcPr>
          <w:p w14:paraId="13E8AB06" w14:textId="77777777" w:rsidR="00091413" w:rsidRPr="00D305C1" w:rsidRDefault="00091413" w:rsidP="00091413">
            <w:pPr>
              <w:pStyle w:val="TextBody"/>
              <w:rPr>
                <w:noProof/>
                <w:lang w:eastAsia="en-AU"/>
              </w:rPr>
            </w:pPr>
          </w:p>
        </w:tc>
      </w:tr>
    </w:tbl>
    <w:p w14:paraId="4229C740" w14:textId="43CF2146" w:rsidR="00A40213" w:rsidRPr="00F263B8" w:rsidRDefault="00A40213" w:rsidP="003D5FB6"/>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6064" w14:textId="77777777" w:rsidR="0024222C" w:rsidRDefault="0024222C" w:rsidP="001D6100">
      <w:r>
        <w:separator/>
      </w:r>
    </w:p>
  </w:endnote>
  <w:endnote w:type="continuationSeparator" w:id="0">
    <w:p w14:paraId="019E665B" w14:textId="77777777" w:rsidR="0024222C" w:rsidRDefault="0024222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861D" w14:textId="77777777" w:rsidR="0024222C" w:rsidRDefault="0024222C" w:rsidP="001D6100">
      <w:r>
        <w:separator/>
      </w:r>
    </w:p>
  </w:footnote>
  <w:footnote w:type="continuationSeparator" w:id="0">
    <w:p w14:paraId="31D83B59" w14:textId="77777777" w:rsidR="0024222C" w:rsidRDefault="0024222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851351"/>
    <w:multiLevelType w:val="hybridMultilevel"/>
    <w:tmpl w:val="9672105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51672"/>
    <w:multiLevelType w:val="hybridMultilevel"/>
    <w:tmpl w:val="8468222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77810">
    <w:abstractNumId w:val="1"/>
  </w:num>
  <w:num w:numId="2" w16cid:durableId="2116053776">
    <w:abstractNumId w:val="0"/>
  </w:num>
  <w:num w:numId="3" w16cid:durableId="1666278366">
    <w:abstractNumId w:val="5"/>
  </w:num>
  <w:num w:numId="4" w16cid:durableId="547958152">
    <w:abstractNumId w:val="3"/>
  </w:num>
  <w:num w:numId="5" w16cid:durableId="323819393">
    <w:abstractNumId w:val="2"/>
  </w:num>
  <w:num w:numId="6" w16cid:durableId="4213399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2F8D"/>
    <w:rsid w:val="00091413"/>
    <w:rsid w:val="00091A12"/>
    <w:rsid w:val="000A06A1"/>
    <w:rsid w:val="000A27A1"/>
    <w:rsid w:val="000A5A63"/>
    <w:rsid w:val="000A6C87"/>
    <w:rsid w:val="000B7BB9"/>
    <w:rsid w:val="000D56EB"/>
    <w:rsid w:val="000E06E3"/>
    <w:rsid w:val="000E0F49"/>
    <w:rsid w:val="000E5FB8"/>
    <w:rsid w:val="00101F9A"/>
    <w:rsid w:val="00107FEB"/>
    <w:rsid w:val="00127324"/>
    <w:rsid w:val="00127BFC"/>
    <w:rsid w:val="001308E7"/>
    <w:rsid w:val="0013534A"/>
    <w:rsid w:val="00167AB3"/>
    <w:rsid w:val="001700EB"/>
    <w:rsid w:val="00173094"/>
    <w:rsid w:val="00182A11"/>
    <w:rsid w:val="001A1B0F"/>
    <w:rsid w:val="001B6177"/>
    <w:rsid w:val="001D6100"/>
    <w:rsid w:val="001E1A1A"/>
    <w:rsid w:val="001F52E4"/>
    <w:rsid w:val="001F6AC3"/>
    <w:rsid w:val="00204618"/>
    <w:rsid w:val="00211907"/>
    <w:rsid w:val="002148ED"/>
    <w:rsid w:val="00221E59"/>
    <w:rsid w:val="00222BFE"/>
    <w:rsid w:val="00235CED"/>
    <w:rsid w:val="002366CD"/>
    <w:rsid w:val="0024222C"/>
    <w:rsid w:val="00252F7D"/>
    <w:rsid w:val="002549B4"/>
    <w:rsid w:val="00285F58"/>
    <w:rsid w:val="002921EE"/>
    <w:rsid w:val="0029277F"/>
    <w:rsid w:val="002C1A0E"/>
    <w:rsid w:val="002C5B07"/>
    <w:rsid w:val="002C63BB"/>
    <w:rsid w:val="002D1033"/>
    <w:rsid w:val="002D1CEF"/>
    <w:rsid w:val="002D68C0"/>
    <w:rsid w:val="00302C98"/>
    <w:rsid w:val="00315984"/>
    <w:rsid w:val="003210C7"/>
    <w:rsid w:val="003369A2"/>
    <w:rsid w:val="003766A2"/>
    <w:rsid w:val="003776E5"/>
    <w:rsid w:val="003924B1"/>
    <w:rsid w:val="00397474"/>
    <w:rsid w:val="00397BC4"/>
    <w:rsid w:val="003B340C"/>
    <w:rsid w:val="003D5FB6"/>
    <w:rsid w:val="003E115A"/>
    <w:rsid w:val="00405FB7"/>
    <w:rsid w:val="00412376"/>
    <w:rsid w:val="00414D6A"/>
    <w:rsid w:val="00416435"/>
    <w:rsid w:val="004300DB"/>
    <w:rsid w:val="00434553"/>
    <w:rsid w:val="004835D8"/>
    <w:rsid w:val="004B1CE7"/>
    <w:rsid w:val="004B3458"/>
    <w:rsid w:val="004C1ECE"/>
    <w:rsid w:val="004D4B2A"/>
    <w:rsid w:val="004E4B1F"/>
    <w:rsid w:val="004F003A"/>
    <w:rsid w:val="004F2805"/>
    <w:rsid w:val="00505EBD"/>
    <w:rsid w:val="00506E7D"/>
    <w:rsid w:val="00507EA1"/>
    <w:rsid w:val="00513C62"/>
    <w:rsid w:val="00516718"/>
    <w:rsid w:val="005175A5"/>
    <w:rsid w:val="005232A0"/>
    <w:rsid w:val="00526A1D"/>
    <w:rsid w:val="0053173D"/>
    <w:rsid w:val="00534E1D"/>
    <w:rsid w:val="00542638"/>
    <w:rsid w:val="00545843"/>
    <w:rsid w:val="005728F5"/>
    <w:rsid w:val="00587A2F"/>
    <w:rsid w:val="005A54EE"/>
    <w:rsid w:val="005A7A4F"/>
    <w:rsid w:val="005B1BA5"/>
    <w:rsid w:val="005C7150"/>
    <w:rsid w:val="005D537B"/>
    <w:rsid w:val="0060497B"/>
    <w:rsid w:val="0060774D"/>
    <w:rsid w:val="00615348"/>
    <w:rsid w:val="0063471A"/>
    <w:rsid w:val="00645773"/>
    <w:rsid w:val="00654229"/>
    <w:rsid w:val="00685DBB"/>
    <w:rsid w:val="006900F6"/>
    <w:rsid w:val="00692977"/>
    <w:rsid w:val="00692B40"/>
    <w:rsid w:val="006A6D66"/>
    <w:rsid w:val="006B498E"/>
    <w:rsid w:val="006C30F5"/>
    <w:rsid w:val="006C3FA7"/>
    <w:rsid w:val="006C5F05"/>
    <w:rsid w:val="006C60E6"/>
    <w:rsid w:val="006D482A"/>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43407"/>
    <w:rsid w:val="0086583D"/>
    <w:rsid w:val="0087169C"/>
    <w:rsid w:val="00882E6E"/>
    <w:rsid w:val="00883281"/>
    <w:rsid w:val="0088562E"/>
    <w:rsid w:val="00892578"/>
    <w:rsid w:val="008A202D"/>
    <w:rsid w:val="008D4894"/>
    <w:rsid w:val="008D6DD6"/>
    <w:rsid w:val="008E1844"/>
    <w:rsid w:val="008E79A7"/>
    <w:rsid w:val="008F2AC1"/>
    <w:rsid w:val="008F6F21"/>
    <w:rsid w:val="0091714F"/>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832F7"/>
    <w:rsid w:val="00A93ECC"/>
    <w:rsid w:val="00AA69D0"/>
    <w:rsid w:val="00AB137A"/>
    <w:rsid w:val="00AD47EE"/>
    <w:rsid w:val="00AE15F2"/>
    <w:rsid w:val="00AE786F"/>
    <w:rsid w:val="00AF5233"/>
    <w:rsid w:val="00B00401"/>
    <w:rsid w:val="00B00C2B"/>
    <w:rsid w:val="00B056FD"/>
    <w:rsid w:val="00B11236"/>
    <w:rsid w:val="00B20006"/>
    <w:rsid w:val="00B235B2"/>
    <w:rsid w:val="00B36600"/>
    <w:rsid w:val="00B463F3"/>
    <w:rsid w:val="00B46979"/>
    <w:rsid w:val="00B5429C"/>
    <w:rsid w:val="00B55412"/>
    <w:rsid w:val="00B67422"/>
    <w:rsid w:val="00B67426"/>
    <w:rsid w:val="00B676BB"/>
    <w:rsid w:val="00B67747"/>
    <w:rsid w:val="00B80C95"/>
    <w:rsid w:val="00BB0735"/>
    <w:rsid w:val="00BB6D80"/>
    <w:rsid w:val="00BD232A"/>
    <w:rsid w:val="00BD3A6D"/>
    <w:rsid w:val="00BD6935"/>
    <w:rsid w:val="00BF1870"/>
    <w:rsid w:val="00C15241"/>
    <w:rsid w:val="00C1574F"/>
    <w:rsid w:val="00C202AC"/>
    <w:rsid w:val="00C235E2"/>
    <w:rsid w:val="00C37449"/>
    <w:rsid w:val="00C458B0"/>
    <w:rsid w:val="00C47CC5"/>
    <w:rsid w:val="00C5053B"/>
    <w:rsid w:val="00C54BA4"/>
    <w:rsid w:val="00C77746"/>
    <w:rsid w:val="00C811E8"/>
    <w:rsid w:val="00C82823"/>
    <w:rsid w:val="00C97463"/>
    <w:rsid w:val="00CA02B2"/>
    <w:rsid w:val="00CA11D3"/>
    <w:rsid w:val="00CA2C96"/>
    <w:rsid w:val="00CD05DA"/>
    <w:rsid w:val="00CD5E35"/>
    <w:rsid w:val="00CD72E1"/>
    <w:rsid w:val="00CF03F0"/>
    <w:rsid w:val="00CF4697"/>
    <w:rsid w:val="00CF511D"/>
    <w:rsid w:val="00D04344"/>
    <w:rsid w:val="00D06317"/>
    <w:rsid w:val="00D22CF9"/>
    <w:rsid w:val="00D305C1"/>
    <w:rsid w:val="00D427E7"/>
    <w:rsid w:val="00D46CD2"/>
    <w:rsid w:val="00D62EB8"/>
    <w:rsid w:val="00D816FF"/>
    <w:rsid w:val="00D872AB"/>
    <w:rsid w:val="00DA3052"/>
    <w:rsid w:val="00DD4DE9"/>
    <w:rsid w:val="00DD5138"/>
    <w:rsid w:val="00DE13D4"/>
    <w:rsid w:val="00DF1C95"/>
    <w:rsid w:val="00DF4177"/>
    <w:rsid w:val="00DF4B6A"/>
    <w:rsid w:val="00E071A6"/>
    <w:rsid w:val="00E244AF"/>
    <w:rsid w:val="00E2788F"/>
    <w:rsid w:val="00E37A63"/>
    <w:rsid w:val="00E468AE"/>
    <w:rsid w:val="00E52F76"/>
    <w:rsid w:val="00E75770"/>
    <w:rsid w:val="00E75C0A"/>
    <w:rsid w:val="00E81FD1"/>
    <w:rsid w:val="00E979F7"/>
    <w:rsid w:val="00EB0126"/>
    <w:rsid w:val="00EB056C"/>
    <w:rsid w:val="00EC1290"/>
    <w:rsid w:val="00EC1F61"/>
    <w:rsid w:val="00ED4F4F"/>
    <w:rsid w:val="00EF7D86"/>
    <w:rsid w:val="00F263B8"/>
    <w:rsid w:val="00F3070F"/>
    <w:rsid w:val="00F35649"/>
    <w:rsid w:val="00F51951"/>
    <w:rsid w:val="00F51BD4"/>
    <w:rsid w:val="00F730ED"/>
    <w:rsid w:val="00F75507"/>
    <w:rsid w:val="00F903DE"/>
    <w:rsid w:val="00F90463"/>
    <w:rsid w:val="00FA2E15"/>
    <w:rsid w:val="00FA6B17"/>
    <w:rsid w:val="00FC3FFE"/>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8E79A7"/>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8E79A7"/>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 w:type="table" w:styleId="LightList-Accent3">
    <w:name w:val="Light List Accent 3"/>
    <w:basedOn w:val="Table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paragraph" w:customStyle="1" w:styleId="Default">
    <w:name w:val="Default"/>
    <w:rsid w:val="00B80C95"/>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AF44A2F98435DB1F4BFA3D3936782"/>
        <w:category>
          <w:name w:val="General"/>
          <w:gallery w:val="placeholder"/>
        </w:category>
        <w:types>
          <w:type w:val="bbPlcHdr"/>
        </w:types>
        <w:behaviors>
          <w:behavior w:val="content"/>
        </w:behaviors>
        <w:guid w:val="{5BC15FEA-A821-441B-9798-F03FE4C35697}"/>
      </w:docPartPr>
      <w:docPartBody>
        <w:p w:rsidR="00C07D64" w:rsidRDefault="00C07D64" w:rsidP="00C07D64">
          <w:pPr>
            <w:pStyle w:val="90FAF44A2F98435DB1F4BFA3D3936782"/>
          </w:pPr>
          <w:r w:rsidRPr="009578FF">
            <w:t>UPCOMING</w:t>
          </w:r>
          <w:r>
            <w:t xml:space="preserve"> </w:t>
          </w:r>
          <w:r w:rsidRPr="009578FF">
            <w:t>EVENTS</w:t>
          </w:r>
        </w:p>
      </w:docPartBody>
    </w:docPart>
    <w:docPart>
      <w:docPartPr>
        <w:name w:val="E57C5E21E07746C1A00BB569719A529C"/>
        <w:category>
          <w:name w:val="General"/>
          <w:gallery w:val="placeholder"/>
        </w:category>
        <w:types>
          <w:type w:val="bbPlcHdr"/>
        </w:types>
        <w:behaviors>
          <w:behavior w:val="content"/>
        </w:behaviors>
        <w:guid w:val="{98134DBD-0B2B-4313-AC68-40F517A930E2}"/>
      </w:docPartPr>
      <w:docPartBody>
        <w:p w:rsidR="00C07D64" w:rsidRDefault="00C07D64" w:rsidP="00C07D64">
          <w:pPr>
            <w:pStyle w:val="E57C5E21E07746C1A00BB569719A529C"/>
          </w:pPr>
          <w:r w:rsidRPr="00094E8D">
            <w:rPr>
              <w:rStyle w:val="PlaceholderText"/>
            </w:rPr>
            <w:t>Click here to enter text.</w:t>
          </w:r>
        </w:p>
      </w:docPartBody>
    </w:docPart>
    <w:docPart>
      <w:docPartPr>
        <w:name w:val="3214A3F607ED4FC78D6BE5631946CD5E"/>
        <w:category>
          <w:name w:val="General"/>
          <w:gallery w:val="placeholder"/>
        </w:category>
        <w:types>
          <w:type w:val="bbPlcHdr"/>
        </w:types>
        <w:behaviors>
          <w:behavior w:val="content"/>
        </w:behaviors>
        <w:guid w:val="{54988890-9052-4A52-8821-6CE353286A15}"/>
      </w:docPartPr>
      <w:docPartBody>
        <w:p w:rsidR="00C07D64" w:rsidRDefault="00C07D64" w:rsidP="00C07D64">
          <w:pPr>
            <w:pStyle w:val="3214A3F607ED4FC78D6BE5631946CD5E"/>
          </w:pPr>
          <w:r w:rsidRPr="00094E8D">
            <w:rPr>
              <w:rStyle w:val="PlaceholderText"/>
            </w:rPr>
            <w:t>Click here to enter text.</w:t>
          </w:r>
        </w:p>
      </w:docPartBody>
    </w:docPart>
    <w:docPart>
      <w:docPartPr>
        <w:name w:val="17F726590C0F474493785B44FF291812"/>
        <w:category>
          <w:name w:val="General"/>
          <w:gallery w:val="placeholder"/>
        </w:category>
        <w:types>
          <w:type w:val="bbPlcHdr"/>
        </w:types>
        <w:behaviors>
          <w:behavior w:val="content"/>
        </w:behaviors>
        <w:guid w:val="{40952200-FEEE-40F6-94D6-469D17BDAECA}"/>
      </w:docPartPr>
      <w:docPartBody>
        <w:p w:rsidR="00C07D64" w:rsidRDefault="00C07D64" w:rsidP="00C07D64">
          <w:pPr>
            <w:pStyle w:val="17F726590C0F474493785B44FF29181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40EAB"/>
    <w:rsid w:val="009D04E1"/>
    <w:rsid w:val="009F1B4B"/>
    <w:rsid w:val="00A20D2B"/>
    <w:rsid w:val="00BD06C3"/>
    <w:rsid w:val="00C07D64"/>
    <w:rsid w:val="00C82271"/>
    <w:rsid w:val="00C92F27"/>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D64"/>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90FAF44A2F98435DB1F4BFA3D3936782">
    <w:name w:val="90FAF44A2F98435DB1F4BFA3D3936782"/>
    <w:rsid w:val="00C07D64"/>
    <w:rPr>
      <w:kern w:val="2"/>
      <w:lang w:val="en-US" w:eastAsia="en-US"/>
      <w14:ligatures w14:val="standardContextual"/>
    </w:rPr>
  </w:style>
  <w:style w:type="paragraph" w:customStyle="1" w:styleId="E57C5E21E07746C1A00BB569719A529C">
    <w:name w:val="E57C5E21E07746C1A00BB569719A529C"/>
    <w:rsid w:val="00C07D64"/>
    <w:rPr>
      <w:kern w:val="2"/>
      <w:lang w:val="en-US" w:eastAsia="en-US"/>
      <w14:ligatures w14:val="standardContextual"/>
    </w:rPr>
  </w:style>
  <w:style w:type="paragraph" w:customStyle="1" w:styleId="3214A3F607ED4FC78D6BE5631946CD5E">
    <w:name w:val="3214A3F607ED4FC78D6BE5631946CD5E"/>
    <w:rsid w:val="00C07D64"/>
    <w:rPr>
      <w:kern w:val="2"/>
      <w:lang w:val="en-US" w:eastAsia="en-US"/>
      <w14:ligatures w14:val="standardContextual"/>
    </w:rPr>
  </w:style>
  <w:style w:type="paragraph" w:customStyle="1" w:styleId="17F726590C0F474493785B44FF291812">
    <w:name w:val="17F726590C0F474493785B44FF291812"/>
    <w:rsid w:val="00C07D6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Props1.xml><?xml version="1.0" encoding="utf-8"?>
<ds:datastoreItem xmlns:ds="http://schemas.openxmlformats.org/officeDocument/2006/customXml" ds:itemID="{84F55907-89E1-4B04-BAD1-065B9562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3087</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2024-06-27T16:33:00Z</dcterms:created>
  <dcterms:modified xsi:type="dcterms:W3CDTF">2024-07-26T17:52:00Z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