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098"/>
        <w:gridCol w:w="1152"/>
        <w:gridCol w:w="313"/>
        <w:gridCol w:w="284"/>
        <w:gridCol w:w="3372"/>
        <w:gridCol w:w="270"/>
        <w:gridCol w:w="270"/>
        <w:gridCol w:w="2529"/>
        <w:gridCol w:w="531"/>
      </w:tblGrid>
      <w:tr w:rsidR="006C30F5" w:rsidRPr="008C2A9A" w14:paraId="1A1BA359" w14:textId="77777777" w:rsidTr="009D3AE7">
        <w:trPr>
          <w:trHeight w:val="454"/>
        </w:trPr>
        <w:tc>
          <w:tcPr>
            <w:tcW w:w="2079" w:type="dxa"/>
            <w:gridSpan w:val="2"/>
            <w:vAlign w:val="center"/>
          </w:tcPr>
          <w:p w14:paraId="01619DCE" w14:textId="7817783E" w:rsidR="006C30F5" w:rsidRPr="008C2A9A" w:rsidRDefault="00E704CA" w:rsidP="00F263B8">
            <w:pPr>
              <w:pStyle w:val="Info"/>
            </w:pPr>
            <w:r w:rsidRPr="008C2A9A">
              <w:rPr>
                <w:noProof/>
              </w:rPr>
              <w:drawing>
                <wp:anchor distT="0" distB="0" distL="114300" distR="114300" simplePos="0" relativeHeight="251669504" behindDoc="1" locked="0" layoutInCell="1" allowOverlap="1" wp14:anchorId="376CEC51" wp14:editId="79FC726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8190" w:type="dxa"/>
            <w:gridSpan w:val="7"/>
            <w:shd w:val="clear" w:color="auto" w:fill="F04E4A"/>
          </w:tcPr>
          <w:p w14:paraId="55B7DB51" w14:textId="16D22D04" w:rsidR="006C30F5" w:rsidRPr="008C2A9A" w:rsidRDefault="001B6177" w:rsidP="00F263B8">
            <w:pPr>
              <w:pStyle w:val="Heading2"/>
            </w:pPr>
            <w:r w:rsidRPr="008C2A9A">
              <w:rPr>
                <w:color w:val="000000" w:themeColor="text1"/>
              </w:rPr>
              <w:t xml:space="preserve">Octavo grado | Edición de verano </w:t>
            </w:r>
          </w:p>
        </w:tc>
        <w:tc>
          <w:tcPr>
            <w:tcW w:w="531" w:type="dxa"/>
            <w:vAlign w:val="center"/>
          </w:tcPr>
          <w:p w14:paraId="09659BEE" w14:textId="2943D89A" w:rsidR="006C30F5" w:rsidRPr="008C2A9A" w:rsidRDefault="006C30F5" w:rsidP="00F263B8"/>
        </w:tc>
      </w:tr>
      <w:tr w:rsidR="006C30F5" w:rsidRPr="008C2A9A" w14:paraId="4359D7EA" w14:textId="77777777" w:rsidTr="00B056FD">
        <w:trPr>
          <w:trHeight w:val="288"/>
        </w:trPr>
        <w:tc>
          <w:tcPr>
            <w:tcW w:w="10800" w:type="dxa"/>
            <w:gridSpan w:val="10"/>
          </w:tcPr>
          <w:p w14:paraId="23F9DB2B" w14:textId="7552FA48" w:rsidR="006C30F5" w:rsidRPr="008C2A9A" w:rsidRDefault="006C30F5" w:rsidP="00F263B8">
            <w:pPr>
              <w:rPr>
                <w:sz w:val="10"/>
                <w:szCs w:val="10"/>
              </w:rPr>
            </w:pPr>
          </w:p>
        </w:tc>
      </w:tr>
      <w:tr w:rsidR="00B91F9D" w:rsidRPr="008C2A9A" w14:paraId="178CAC26" w14:textId="77777777" w:rsidTr="00BE23A5">
        <w:trPr>
          <w:trHeight w:val="864"/>
        </w:trPr>
        <w:tc>
          <w:tcPr>
            <w:tcW w:w="981" w:type="dxa"/>
            <w:vAlign w:val="center"/>
          </w:tcPr>
          <w:p w14:paraId="407B2EE0" w14:textId="6BD99ED7" w:rsidR="00B91F9D" w:rsidRPr="008C2A9A" w:rsidRDefault="00B91F9D" w:rsidP="00F263B8"/>
        </w:tc>
        <w:tc>
          <w:tcPr>
            <w:tcW w:w="9819" w:type="dxa"/>
            <w:gridSpan w:val="9"/>
            <w:vAlign w:val="center"/>
          </w:tcPr>
          <w:p w14:paraId="2415CC22" w14:textId="77777777" w:rsidR="00B91F9D" w:rsidRPr="008C2A9A" w:rsidRDefault="00B91F9D" w:rsidP="00A801B1">
            <w:pPr>
              <w:pStyle w:val="Heading1"/>
              <w:ind w:left="548"/>
              <w:rPr>
                <w:sz w:val="48"/>
                <w:szCs w:val="20"/>
              </w:rPr>
            </w:pPr>
            <w:r w:rsidRPr="008C2A9A">
              <w:rPr>
                <w:sz w:val="48"/>
                <w:szCs w:val="20"/>
              </w:rPr>
              <w:t>PLANTILLA DEL BOLETÍN INFORMATIVO</w:t>
            </w:r>
          </w:p>
          <w:p w14:paraId="6B2F7AF3" w14:textId="75376053" w:rsidR="00B91F9D" w:rsidRPr="008C2A9A" w:rsidRDefault="00B91F9D" w:rsidP="00A801B1">
            <w:pPr>
              <w:pStyle w:val="Heading2"/>
              <w:spacing w:before="0"/>
              <w:ind w:left="548"/>
            </w:pPr>
            <w:r w:rsidRPr="008C2A9A">
              <w:t xml:space="preserve">High School &amp; </w:t>
            </w:r>
            <w:r w:rsidRPr="009D3AE7">
              <w:t>Beyond</w:t>
            </w:r>
            <w:r w:rsidRPr="008C2A9A">
              <w:t xml:space="preserve"> Planning (Planificación para la Preparatoria </w:t>
            </w:r>
            <w:r w:rsidRPr="008C2A9A">
              <w:br/>
              <w:t>y Más Allá): Noticias e información</w:t>
            </w:r>
          </w:p>
        </w:tc>
      </w:tr>
      <w:tr w:rsidR="006C30F5" w:rsidRPr="008C2A9A" w14:paraId="3A5CC13C" w14:textId="77777777" w:rsidTr="00035894">
        <w:tc>
          <w:tcPr>
            <w:tcW w:w="10800" w:type="dxa"/>
            <w:gridSpan w:val="10"/>
            <w:tcBorders>
              <w:bottom w:val="single" w:sz="18" w:space="0" w:color="auto"/>
            </w:tcBorders>
          </w:tcPr>
          <w:p w14:paraId="3B36A4CB" w14:textId="77777777" w:rsidR="006C30F5" w:rsidRPr="008C2A9A" w:rsidRDefault="006C30F5" w:rsidP="00F263B8">
            <w:pPr>
              <w:rPr>
                <w:sz w:val="16"/>
                <w:szCs w:val="16"/>
              </w:rPr>
            </w:pPr>
          </w:p>
        </w:tc>
      </w:tr>
      <w:tr w:rsidR="00221E59" w:rsidRPr="009D3AE7" w14:paraId="0CE963F1" w14:textId="77777777" w:rsidTr="00035894">
        <w:tc>
          <w:tcPr>
            <w:tcW w:w="10800" w:type="dxa"/>
            <w:gridSpan w:val="10"/>
            <w:tcBorders>
              <w:top w:val="single" w:sz="18" w:space="0" w:color="auto"/>
            </w:tcBorders>
            <w:vAlign w:val="center"/>
          </w:tcPr>
          <w:p w14:paraId="3E4C3711" w14:textId="4B3A8E12" w:rsidR="00221E59" w:rsidRPr="008C2A9A" w:rsidRDefault="00221E59" w:rsidP="00F263B8">
            <w:pPr>
              <w:pStyle w:val="Info"/>
              <w:jc w:val="right"/>
              <w:rPr>
                <w:i/>
                <w:iCs/>
                <w:color w:val="000000" w:themeColor="text1"/>
                <w:sz w:val="18"/>
                <w:lang w:val="en-US"/>
              </w:rPr>
            </w:pPr>
            <w:r w:rsidRPr="008C2A9A">
              <w:rPr>
                <w:i/>
                <w:iCs/>
                <w:color w:val="C00000"/>
                <w:sz w:val="18"/>
                <w:lang w:val="en-US"/>
              </w:rPr>
              <w:t>Replace with School Contact Info</w:t>
            </w:r>
          </w:p>
        </w:tc>
      </w:tr>
      <w:tr w:rsidR="004B1CE7" w:rsidRPr="009D3AE7" w14:paraId="51EF200A" w14:textId="77777777" w:rsidTr="00035894">
        <w:trPr>
          <w:trHeight w:val="144"/>
        </w:trPr>
        <w:tc>
          <w:tcPr>
            <w:tcW w:w="10800" w:type="dxa"/>
            <w:gridSpan w:val="10"/>
          </w:tcPr>
          <w:p w14:paraId="58125260" w14:textId="77777777" w:rsidR="004B1CE7" w:rsidRPr="008C2A9A" w:rsidRDefault="004B1CE7" w:rsidP="00F263B8">
            <w:pPr>
              <w:rPr>
                <w:sz w:val="16"/>
                <w:szCs w:val="16"/>
                <w:lang w:val="en-US"/>
              </w:rPr>
            </w:pPr>
          </w:p>
        </w:tc>
      </w:tr>
      <w:tr w:rsidR="00D46CD2" w:rsidRPr="009D3AE7" w14:paraId="55E2CE09" w14:textId="77777777" w:rsidTr="00035894">
        <w:trPr>
          <w:trHeight w:val="5353"/>
        </w:trPr>
        <w:tc>
          <w:tcPr>
            <w:tcW w:w="3231" w:type="dxa"/>
            <w:gridSpan w:val="3"/>
            <w:vMerge w:val="restart"/>
          </w:tcPr>
          <w:p w14:paraId="69D44246" w14:textId="776CCCBD" w:rsidR="00A36AB5" w:rsidRPr="008C2A9A" w:rsidRDefault="00A36AB5" w:rsidP="008C2A9A">
            <w:pPr>
              <w:pStyle w:val="Titlenormal"/>
              <w:spacing w:line="240" w:lineRule="auto"/>
            </w:pPr>
            <w:r w:rsidRPr="008C2A9A">
              <w:t>TRANSICIÓN A LA PREPARATORIA</w:t>
            </w:r>
          </w:p>
          <w:p w14:paraId="50D1435F" w14:textId="1E0DA16E" w:rsidR="00127324" w:rsidRPr="008C2A9A" w:rsidRDefault="00127324" w:rsidP="008C2A9A">
            <w:pPr>
              <w:pStyle w:val="TextBody"/>
              <w:spacing w:line="240" w:lineRule="auto"/>
            </w:pPr>
            <w:r w:rsidRPr="008C2A9A">
              <w:t>El final del año escolar puede ser un momento de nerviosismo para los estudiantes, especialmente para los que van a pasar a preparatoria el próximo otoño. El noveno grado es fundamental para el éxito de los estudiantes en la preparatoria.</w:t>
            </w:r>
          </w:p>
          <w:p w14:paraId="6772F8F4" w14:textId="7FF6ED5D" w:rsidR="00127324" w:rsidRPr="008C2A9A" w:rsidRDefault="00127324" w:rsidP="008C2A9A">
            <w:pPr>
              <w:pStyle w:val="TextBody"/>
              <w:spacing w:line="240" w:lineRule="auto"/>
            </w:pPr>
            <w:r w:rsidRPr="008C2A9A">
              <w:t xml:space="preserve">Cuando los adolescentes entran en la preparatoria, muchos experimentan una baja en sus calificaciones. La preparatoria puede parecer un entorno más extenso y, a veces, aparentemente menos amable que la primaria o la secundaria. Los compañeros tienen una influencia más fuerte (tanto positiva como negativa). También aumenta la posibilidad de desarrollar malos hábitos, como saltarse clases, sobre todo cuando un estudiante tiene dificultades. </w:t>
            </w:r>
          </w:p>
          <w:p w14:paraId="779B12C7" w14:textId="241C3112" w:rsidR="00127324" w:rsidRPr="008C2A9A" w:rsidRDefault="00127324" w:rsidP="008C2A9A">
            <w:pPr>
              <w:pStyle w:val="TextBody"/>
              <w:spacing w:line="240" w:lineRule="auto"/>
            </w:pPr>
            <w:r w:rsidRPr="008C2A9A">
              <w:t>Sin embargo, los estudios confirman que cuando se pregunta a los adolescentes quién tiene más influencia sobre sus acciones, contundentemente responden: mis padres. A pesar de los ojos en blanco, su lucha por independencia que a menudo muestran (y que es natural), los adolescentes de secundaria y preparatoria necesitan adultos que se preocupen por ellos. ¿Quién mejor que ellos pueden proporcionarles orientación, dirección, cuidado, amor y sacrificio para guiarlos hacia la edad adulta? Las familias deben involucrarse durante los años de preparatoria.</w:t>
            </w:r>
          </w:p>
          <w:p w14:paraId="2891BE20" w14:textId="379369A6" w:rsidR="00127324" w:rsidRPr="008C2A9A" w:rsidRDefault="00127324" w:rsidP="008C2A9A">
            <w:pPr>
              <w:pStyle w:val="TextBody"/>
              <w:spacing w:line="240" w:lineRule="auto"/>
            </w:pPr>
            <w:r w:rsidRPr="008C2A9A">
              <w:t>Hable con su hijo adolescente sobre lo que a usted más le preocupa de los años de secundaria y preparatoria. Pregúntele cuáles son sus mayores preocupaciones.</w:t>
            </w:r>
          </w:p>
          <w:p w14:paraId="3C9107E7" w14:textId="43247823" w:rsidR="000172C3" w:rsidRPr="008C2A9A" w:rsidRDefault="00127324" w:rsidP="008C2A9A">
            <w:pPr>
              <w:pStyle w:val="TextBody"/>
              <w:spacing w:line="240" w:lineRule="auto"/>
            </w:pPr>
            <w:r w:rsidRPr="008C2A9A">
              <w:t>Piense en cómo fue su experiencia en la secundaria y preparatoria. ¿Cómo han cambiado los retos? ¿En qué se parecen? ¿Cuánto hablaba usted con sus padres?</w:t>
            </w:r>
          </w:p>
        </w:tc>
        <w:tc>
          <w:tcPr>
            <w:tcW w:w="313" w:type="dxa"/>
            <w:vMerge w:val="restart"/>
            <w:tcBorders>
              <w:right w:val="single" w:sz="18" w:space="0" w:color="auto"/>
            </w:tcBorders>
          </w:tcPr>
          <w:p w14:paraId="22E8ECCE" w14:textId="20EADE00" w:rsidR="00D46CD2" w:rsidRPr="008C2A9A" w:rsidRDefault="00D46CD2" w:rsidP="008C2A9A">
            <w:pPr>
              <w:pStyle w:val="TextBody"/>
              <w:spacing w:line="240" w:lineRule="auto"/>
            </w:pPr>
          </w:p>
        </w:tc>
        <w:tc>
          <w:tcPr>
            <w:tcW w:w="284" w:type="dxa"/>
            <w:vMerge w:val="restart"/>
            <w:tcBorders>
              <w:left w:val="single" w:sz="18" w:space="0" w:color="auto"/>
            </w:tcBorders>
          </w:tcPr>
          <w:p w14:paraId="5CD1640A" w14:textId="77777777" w:rsidR="00D46CD2" w:rsidRPr="008C2A9A" w:rsidRDefault="00D46CD2" w:rsidP="008C2A9A">
            <w:pPr>
              <w:pStyle w:val="TextBody"/>
              <w:spacing w:line="240" w:lineRule="auto"/>
            </w:pPr>
          </w:p>
        </w:tc>
        <w:tc>
          <w:tcPr>
            <w:tcW w:w="3372" w:type="dxa"/>
            <w:tcBorders>
              <w:bottom w:val="single" w:sz="18" w:space="0" w:color="auto"/>
            </w:tcBorders>
          </w:tcPr>
          <w:p w14:paraId="67F7BF3A" w14:textId="6B54180D" w:rsidR="00C1574F" w:rsidRPr="008C2A9A" w:rsidRDefault="00C47CC5" w:rsidP="008C2A9A">
            <w:pPr>
              <w:pStyle w:val="Info"/>
              <w:rPr>
                <w:i/>
                <w:iCs/>
                <w:color w:val="C00000"/>
                <w:lang w:val="en-US"/>
              </w:rPr>
            </w:pPr>
            <w:r w:rsidRPr="008C2A9A">
              <w:rPr>
                <w:i/>
                <w:iCs/>
                <w:color w:val="C00000"/>
                <w:lang w:val="en-US"/>
              </w:rPr>
              <w:t>Insert Local Summer Programs and Opportunities Here</w:t>
            </w:r>
          </w:p>
        </w:tc>
        <w:tc>
          <w:tcPr>
            <w:tcW w:w="3600" w:type="dxa"/>
            <w:gridSpan w:val="4"/>
          </w:tcPr>
          <w:p w14:paraId="6A8044F8" w14:textId="6882EC47" w:rsidR="00AF5233" w:rsidRPr="008C2A9A" w:rsidRDefault="00C47CC5" w:rsidP="008C2A9A">
            <w:pPr>
              <w:pStyle w:val="Info"/>
              <w:rPr>
                <w:i/>
                <w:iCs/>
                <w:color w:val="C00000"/>
                <w:lang w:val="en-US"/>
              </w:rPr>
            </w:pPr>
            <w:r w:rsidRPr="008C2A9A">
              <w:rPr>
                <w:i/>
                <w:iCs/>
                <w:color w:val="C00000"/>
                <w:lang w:val="en-US"/>
              </w:rPr>
              <w:t>Insert Local Summer Programs and Opportunities Here</w:t>
            </w:r>
          </w:p>
        </w:tc>
      </w:tr>
      <w:tr w:rsidR="006C30F5" w:rsidRPr="009D3AE7" w14:paraId="0727042E" w14:textId="77777777" w:rsidTr="00035894">
        <w:trPr>
          <w:trHeight w:val="432"/>
        </w:trPr>
        <w:tc>
          <w:tcPr>
            <w:tcW w:w="3231" w:type="dxa"/>
            <w:gridSpan w:val="3"/>
            <w:vMerge/>
          </w:tcPr>
          <w:p w14:paraId="4BE4CE13" w14:textId="77777777" w:rsidR="006C30F5" w:rsidRPr="008C2A9A" w:rsidRDefault="006C30F5" w:rsidP="008C2A9A">
            <w:pPr>
              <w:pStyle w:val="TextBody"/>
              <w:spacing w:line="240" w:lineRule="auto"/>
              <w:rPr>
                <w:lang w:val="en-US"/>
              </w:rPr>
            </w:pPr>
          </w:p>
        </w:tc>
        <w:tc>
          <w:tcPr>
            <w:tcW w:w="313" w:type="dxa"/>
            <w:vMerge/>
            <w:tcBorders>
              <w:right w:val="single" w:sz="18" w:space="0" w:color="auto"/>
            </w:tcBorders>
          </w:tcPr>
          <w:p w14:paraId="23C2818D" w14:textId="77777777" w:rsidR="006C30F5" w:rsidRPr="008C2A9A" w:rsidRDefault="006C30F5" w:rsidP="008C2A9A">
            <w:pPr>
              <w:pStyle w:val="TextBody"/>
              <w:spacing w:line="240" w:lineRule="auto"/>
              <w:rPr>
                <w:lang w:val="en-US"/>
              </w:rPr>
            </w:pPr>
          </w:p>
        </w:tc>
        <w:tc>
          <w:tcPr>
            <w:tcW w:w="284" w:type="dxa"/>
            <w:vMerge/>
            <w:tcBorders>
              <w:left w:val="single" w:sz="18" w:space="0" w:color="auto"/>
            </w:tcBorders>
          </w:tcPr>
          <w:p w14:paraId="77F0BF1C" w14:textId="77777777" w:rsidR="006C30F5" w:rsidRPr="008C2A9A" w:rsidRDefault="006C30F5" w:rsidP="008C2A9A">
            <w:pPr>
              <w:pStyle w:val="TextBody"/>
              <w:spacing w:line="240" w:lineRule="auto"/>
              <w:rPr>
                <w:lang w:val="en-US"/>
              </w:rPr>
            </w:pPr>
          </w:p>
        </w:tc>
        <w:tc>
          <w:tcPr>
            <w:tcW w:w="3372" w:type="dxa"/>
            <w:tcBorders>
              <w:top w:val="single" w:sz="18" w:space="0" w:color="auto"/>
            </w:tcBorders>
          </w:tcPr>
          <w:p w14:paraId="69E07A8C" w14:textId="77777777" w:rsidR="006C30F5" w:rsidRPr="008C2A9A" w:rsidRDefault="006C30F5" w:rsidP="008C2A9A">
            <w:pPr>
              <w:pStyle w:val="TextBody"/>
              <w:spacing w:line="240" w:lineRule="auto"/>
              <w:rPr>
                <w:lang w:val="en-US"/>
              </w:rPr>
            </w:pPr>
          </w:p>
        </w:tc>
        <w:tc>
          <w:tcPr>
            <w:tcW w:w="270" w:type="dxa"/>
            <w:tcBorders>
              <w:top w:val="single" w:sz="18" w:space="0" w:color="auto"/>
            </w:tcBorders>
          </w:tcPr>
          <w:p w14:paraId="63CA43EB" w14:textId="77777777" w:rsidR="006C30F5" w:rsidRPr="008C2A9A" w:rsidRDefault="006C30F5" w:rsidP="008C2A9A">
            <w:pPr>
              <w:pStyle w:val="TextBody"/>
              <w:spacing w:line="240" w:lineRule="auto"/>
              <w:rPr>
                <w:lang w:val="en-US"/>
              </w:rPr>
            </w:pPr>
          </w:p>
        </w:tc>
        <w:tc>
          <w:tcPr>
            <w:tcW w:w="270" w:type="dxa"/>
            <w:tcBorders>
              <w:top w:val="single" w:sz="18" w:space="0" w:color="auto"/>
            </w:tcBorders>
          </w:tcPr>
          <w:p w14:paraId="619C8043" w14:textId="77777777" w:rsidR="006C30F5" w:rsidRPr="008C2A9A" w:rsidRDefault="006C30F5" w:rsidP="008C2A9A">
            <w:pPr>
              <w:pStyle w:val="TextBody"/>
              <w:spacing w:line="240" w:lineRule="auto"/>
              <w:rPr>
                <w:lang w:val="en-US"/>
              </w:rPr>
            </w:pPr>
          </w:p>
        </w:tc>
        <w:tc>
          <w:tcPr>
            <w:tcW w:w="3060" w:type="dxa"/>
            <w:gridSpan w:val="2"/>
            <w:tcBorders>
              <w:top w:val="single" w:sz="18" w:space="0" w:color="auto"/>
            </w:tcBorders>
          </w:tcPr>
          <w:p w14:paraId="4BF167C6" w14:textId="77777777" w:rsidR="006C30F5" w:rsidRPr="008C2A9A" w:rsidRDefault="006C30F5" w:rsidP="008C2A9A">
            <w:pPr>
              <w:pStyle w:val="TextBody"/>
              <w:spacing w:line="240" w:lineRule="auto"/>
              <w:rPr>
                <w:lang w:val="en-US"/>
              </w:rPr>
            </w:pPr>
          </w:p>
        </w:tc>
      </w:tr>
      <w:tr w:rsidR="006C30F5" w:rsidRPr="008C2A9A" w14:paraId="7B5B841B" w14:textId="77777777" w:rsidTr="00035894">
        <w:trPr>
          <w:trHeight w:val="4320"/>
        </w:trPr>
        <w:tc>
          <w:tcPr>
            <w:tcW w:w="3231" w:type="dxa"/>
            <w:gridSpan w:val="3"/>
            <w:vMerge/>
          </w:tcPr>
          <w:p w14:paraId="5144FECC" w14:textId="77777777" w:rsidR="006C30F5" w:rsidRPr="008C2A9A" w:rsidRDefault="006C30F5" w:rsidP="008C2A9A">
            <w:pPr>
              <w:pStyle w:val="TextBody"/>
              <w:spacing w:line="240" w:lineRule="auto"/>
              <w:rPr>
                <w:lang w:val="en-US"/>
              </w:rPr>
            </w:pPr>
          </w:p>
        </w:tc>
        <w:tc>
          <w:tcPr>
            <w:tcW w:w="313" w:type="dxa"/>
            <w:vMerge/>
            <w:tcBorders>
              <w:right w:val="single" w:sz="18" w:space="0" w:color="auto"/>
            </w:tcBorders>
          </w:tcPr>
          <w:p w14:paraId="5EEFACED" w14:textId="77777777" w:rsidR="006C30F5" w:rsidRPr="008C2A9A" w:rsidRDefault="006C30F5" w:rsidP="008C2A9A">
            <w:pPr>
              <w:pStyle w:val="TextBody"/>
              <w:spacing w:line="240" w:lineRule="auto"/>
              <w:rPr>
                <w:lang w:val="en-US"/>
              </w:rPr>
            </w:pPr>
          </w:p>
        </w:tc>
        <w:tc>
          <w:tcPr>
            <w:tcW w:w="284" w:type="dxa"/>
            <w:vMerge/>
            <w:tcBorders>
              <w:left w:val="single" w:sz="18" w:space="0" w:color="auto"/>
            </w:tcBorders>
          </w:tcPr>
          <w:p w14:paraId="2BC9F19E" w14:textId="77777777" w:rsidR="006C30F5" w:rsidRPr="008C2A9A" w:rsidRDefault="006C30F5" w:rsidP="008C2A9A">
            <w:pPr>
              <w:pStyle w:val="TextBody"/>
              <w:spacing w:line="240" w:lineRule="auto"/>
              <w:rPr>
                <w:lang w:val="en-US"/>
              </w:rPr>
            </w:pPr>
          </w:p>
        </w:tc>
        <w:tc>
          <w:tcPr>
            <w:tcW w:w="3372" w:type="dxa"/>
          </w:tcPr>
          <w:p w14:paraId="05DBA5EC" w14:textId="53B27488" w:rsidR="006C30F5" w:rsidRPr="008C2A9A" w:rsidRDefault="00B12D0F" w:rsidP="008C2A9A">
            <w:pPr>
              <w:pStyle w:val="TextBody"/>
              <w:spacing w:line="240" w:lineRule="auto"/>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hAnsiTheme="minorHAnsi"/>
                  <w:b w:val="0"/>
                  <w:bCs w:val="0"/>
                  <w:color w:val="000000" w:themeColor="text1"/>
                  <w:sz w:val="20"/>
                </w:rPr>
              </w:sdtEndPr>
              <w:sdtContent>
                <w:r w:rsidR="002726A0" w:rsidRPr="008C2A9A">
                  <w:rPr>
                    <w:rStyle w:val="TitlenormalChar"/>
                  </w:rPr>
                  <w:t>PRÓXIMOS EVENTOS</w:t>
                </w:r>
              </w:sdtContent>
            </w:sdt>
          </w:p>
          <w:p w14:paraId="340D22C2" w14:textId="09364564" w:rsidR="00FF5E20" w:rsidRPr="008C2A9A" w:rsidRDefault="00B12D0F" w:rsidP="008C2A9A">
            <w:pPr>
              <w:pStyle w:val="TextBody"/>
              <w:spacing w:line="240" w:lineRule="auto"/>
            </w:pPr>
            <w:sdt>
              <w:sdtPr>
                <w:id w:val="-1628150936"/>
                <w:placeholder>
                  <w:docPart w:val="EA7A00A92EF74F2593D77E1A133A11C4"/>
                </w:placeholder>
              </w:sdtPr>
              <w:sdtEndPr/>
              <w:sdtContent>
                <w:sdt>
                  <w:sdtPr>
                    <w:id w:val="-1441836109"/>
                    <w:placeholder>
                      <w:docPart w:val="2DCAB4B9D01E4BC995A861E0057886C6"/>
                    </w:placeholder>
                  </w:sdtPr>
                  <w:sdtEndPr/>
                  <w:sdtContent>
                    <w:sdt>
                      <w:sdtPr>
                        <w:id w:val="2022893207"/>
                        <w:placeholder>
                          <w:docPart w:val="B2EBD7BA2B1E4A0E8B32016484770F92"/>
                        </w:placeholder>
                        <w:showingPlcHdr/>
                      </w:sdtPr>
                      <w:sdtEndPr/>
                      <w:sdtContent>
                        <w:r w:rsidR="002726A0" w:rsidRPr="008C2A9A">
                          <w:rPr>
                            <w:rStyle w:val="PlaceholderText"/>
                            <w:i/>
                            <w:iCs/>
                            <w:color w:val="C00000"/>
                          </w:rPr>
                          <w:t>Haga clic aquí para ingresar texto.</w:t>
                        </w:r>
                      </w:sdtContent>
                    </w:sdt>
                  </w:sdtContent>
                </w:sdt>
              </w:sdtContent>
            </w:sdt>
          </w:p>
          <w:p w14:paraId="7D46F4FD" w14:textId="184DB987" w:rsidR="006C30F5" w:rsidRPr="008C2A9A" w:rsidRDefault="006C30F5" w:rsidP="008C2A9A">
            <w:pPr>
              <w:pStyle w:val="TextBody"/>
              <w:spacing w:line="240" w:lineRule="auto"/>
            </w:pPr>
          </w:p>
        </w:tc>
        <w:tc>
          <w:tcPr>
            <w:tcW w:w="270" w:type="dxa"/>
            <w:tcBorders>
              <w:right w:val="single" w:sz="18" w:space="0" w:color="auto"/>
            </w:tcBorders>
          </w:tcPr>
          <w:p w14:paraId="562E0CFE" w14:textId="77777777" w:rsidR="006C30F5" w:rsidRPr="008C2A9A" w:rsidRDefault="006C30F5" w:rsidP="008C2A9A">
            <w:pPr>
              <w:pStyle w:val="TextBody"/>
              <w:spacing w:line="240" w:lineRule="auto"/>
            </w:pPr>
          </w:p>
        </w:tc>
        <w:tc>
          <w:tcPr>
            <w:tcW w:w="270" w:type="dxa"/>
            <w:tcBorders>
              <w:left w:val="single" w:sz="18" w:space="0" w:color="auto"/>
            </w:tcBorders>
          </w:tcPr>
          <w:p w14:paraId="26318FC3" w14:textId="380941CC" w:rsidR="006C30F5" w:rsidRPr="008C2A9A" w:rsidRDefault="006C30F5" w:rsidP="008C2A9A">
            <w:pPr>
              <w:pStyle w:val="TextBody"/>
              <w:spacing w:line="240" w:lineRule="auto"/>
            </w:pPr>
          </w:p>
        </w:tc>
        <w:tc>
          <w:tcPr>
            <w:tcW w:w="3060" w:type="dxa"/>
            <w:gridSpan w:val="2"/>
          </w:tcPr>
          <w:p w14:paraId="04A458B9" w14:textId="7D1D2895" w:rsidR="0013534A" w:rsidRPr="008C2A9A" w:rsidRDefault="0013534A" w:rsidP="008C2A9A">
            <w:pPr>
              <w:pStyle w:val="TextBody"/>
              <w:spacing w:line="240" w:lineRule="auto"/>
              <w:jc w:val="center"/>
              <w:rPr>
                <w:rStyle w:val="TitlenormalChar"/>
              </w:rPr>
            </w:pPr>
            <w:r w:rsidRPr="008C2A9A">
              <w:rPr>
                <w:noProof/>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8C2A9A" w:rsidRDefault="00B20006" w:rsidP="008C2A9A">
            <w:pPr>
              <w:pStyle w:val="TextBody"/>
              <w:spacing w:line="240" w:lineRule="auto"/>
            </w:pPr>
            <w:r w:rsidRPr="008C2A9A">
              <w:rPr>
                <w:rStyle w:val="TitlenormalChar"/>
              </w:rPr>
              <w:t>¿SABÍA QUÉ?</w:t>
            </w:r>
          </w:p>
          <w:p w14:paraId="6FCE9416" w14:textId="78B779E6" w:rsidR="007142E5" w:rsidRPr="008C2A9A" w:rsidRDefault="007142E5" w:rsidP="008C2A9A">
            <w:pPr>
              <w:pStyle w:val="TextBody"/>
              <w:spacing w:line="240" w:lineRule="auto"/>
            </w:pPr>
            <w:r w:rsidRPr="008C2A9A">
              <w:t>¿Cuál es una habilidad laboral</w:t>
            </w:r>
            <w:r w:rsidR="008C2A9A">
              <w:t> </w:t>
            </w:r>
            <w:r w:rsidRPr="008C2A9A">
              <w:t xml:space="preserve">novedosa? </w:t>
            </w:r>
          </w:p>
          <w:p w14:paraId="1439BA6E" w14:textId="05B1B72D" w:rsidR="007142E5" w:rsidRPr="008C2A9A" w:rsidRDefault="007142E5" w:rsidP="008C2A9A">
            <w:pPr>
              <w:pStyle w:val="TextBody"/>
              <w:spacing w:line="240" w:lineRule="auto"/>
            </w:pPr>
            <w:r w:rsidRPr="008C2A9A">
              <w:t xml:space="preserve">El ejército, el NYPD (New York Police Department, Departamento de Policía de Nueva York) y el Departamento de Estado (State Department) no tienen suficientes trabajadores con esta habilidad laboral. Tampoco las empresas de Fortune 500, los hospitales, los tribunales locales ni las escuelas. ¿Cuál es? </w:t>
            </w:r>
          </w:p>
          <w:p w14:paraId="5664FD70" w14:textId="01691DF9" w:rsidR="00CD5E35" w:rsidRPr="008C2A9A" w:rsidRDefault="007142E5" w:rsidP="008C2A9A">
            <w:pPr>
              <w:pStyle w:val="TextBody"/>
              <w:spacing w:line="240" w:lineRule="auto"/>
            </w:pPr>
            <w:r w:rsidRPr="008C2A9A">
              <w:t>Dominio de una lengua extranjera.</w:t>
            </w:r>
          </w:p>
        </w:tc>
      </w:tr>
    </w:tbl>
    <w:p w14:paraId="1BDD458E" w14:textId="77777777" w:rsidR="00A40213" w:rsidRPr="008C2A9A" w:rsidRDefault="00A40213" w:rsidP="008C2A9A">
      <w:pPr>
        <w:pStyle w:val="TextBody"/>
        <w:spacing w:line="240" w:lineRule="auto"/>
      </w:pPr>
    </w:p>
    <w:p w14:paraId="0FFBF886" w14:textId="77777777" w:rsidR="000172C3" w:rsidRPr="008C2A9A" w:rsidRDefault="000172C3" w:rsidP="008C2A9A">
      <w:r w:rsidRPr="008C2A9A">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8C2A9A" w14:paraId="6F1EC783" w14:textId="77777777" w:rsidTr="00DE5558">
        <w:trPr>
          <w:trHeight w:val="454"/>
        </w:trPr>
        <w:tc>
          <w:tcPr>
            <w:tcW w:w="10790" w:type="dxa"/>
            <w:gridSpan w:val="6"/>
            <w:tcBorders>
              <w:bottom w:val="single" w:sz="18" w:space="0" w:color="auto"/>
            </w:tcBorders>
          </w:tcPr>
          <w:p w14:paraId="0C643917" w14:textId="40A834BC" w:rsidR="00221E59" w:rsidRPr="008C2A9A" w:rsidRDefault="00B12D0F" w:rsidP="00221E59">
            <w:pPr>
              <w:rPr>
                <w:rStyle w:val="Heading2Char"/>
              </w:rPr>
            </w:pPr>
            <w:r>
              <w:rPr>
                <w:rStyle w:val="Heading3Char"/>
              </w:rPr>
              <w:lastRenderedPageBreak/>
              <w:pict w14:anchorId="31FAF5AB">
                <v:group id="Group 1383" o:spid="_x0000_s1026" alt="&quot;&quot;" style="position:absolute;margin-left:-31.1pt;margin-top:-31.9pt;width:612pt;height:11in;z-index:-25164492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8C2A9A">
              <w:rPr>
                <w:rStyle w:val="Heading3Char"/>
              </w:rPr>
              <w:t>High School &amp; Beyond Planning</w:t>
            </w:r>
            <w:r w:rsidR="00221E59" w:rsidRPr="008C2A9A">
              <w:rPr>
                <w:rStyle w:val="Heading2Char"/>
              </w:rPr>
              <w:t xml:space="preserve"> </w:t>
            </w:r>
          </w:p>
          <w:p w14:paraId="4CEE5AD0" w14:textId="0337B067" w:rsidR="00221E59" w:rsidRPr="008C2A9A" w:rsidRDefault="002C63BB" w:rsidP="00221E59">
            <w:r w:rsidRPr="008C2A9A">
              <w:rPr>
                <w:rStyle w:val="Heading2Char"/>
                <w:color w:val="000000" w:themeColor="text1"/>
              </w:rPr>
              <w:t xml:space="preserve">Octavo grado | Edición de verano | gearup.wa.gov </w:t>
            </w:r>
          </w:p>
        </w:tc>
      </w:tr>
      <w:tr w:rsidR="003924B1" w:rsidRPr="008C2A9A" w14:paraId="68BDF0EE" w14:textId="77777777" w:rsidTr="00DE5558">
        <w:trPr>
          <w:trHeight w:val="144"/>
        </w:trPr>
        <w:tc>
          <w:tcPr>
            <w:tcW w:w="10790" w:type="dxa"/>
            <w:gridSpan w:val="6"/>
            <w:tcBorders>
              <w:top w:val="single" w:sz="18" w:space="0" w:color="auto"/>
            </w:tcBorders>
          </w:tcPr>
          <w:p w14:paraId="0267F210" w14:textId="77777777" w:rsidR="003924B1" w:rsidRPr="008C2A9A" w:rsidRDefault="003924B1" w:rsidP="00BA1778">
            <w:pPr>
              <w:rPr>
                <w:sz w:val="14"/>
                <w:szCs w:val="14"/>
              </w:rPr>
            </w:pPr>
          </w:p>
        </w:tc>
      </w:tr>
      <w:tr w:rsidR="00735F99" w:rsidRPr="008C2A9A" w14:paraId="41244D99" w14:textId="77777777" w:rsidTr="00E468AE">
        <w:trPr>
          <w:trHeight w:val="205"/>
        </w:trPr>
        <w:tc>
          <w:tcPr>
            <w:tcW w:w="3678" w:type="dxa"/>
          </w:tcPr>
          <w:p w14:paraId="346B1E21" w14:textId="0261996A" w:rsidR="00735F99" w:rsidRPr="008C2A9A" w:rsidRDefault="00B67747" w:rsidP="008C2A9A">
            <w:pPr>
              <w:pStyle w:val="Titlenormal"/>
              <w:spacing w:line="240" w:lineRule="auto"/>
            </w:pPr>
            <w:r w:rsidRPr="008C2A9A">
              <w:t>ESPECIALIZACIONES Y PROFESIONES: EXPLORE SUS PASIONES</w:t>
            </w:r>
          </w:p>
        </w:tc>
        <w:tc>
          <w:tcPr>
            <w:tcW w:w="277" w:type="dxa"/>
            <w:vMerge w:val="restart"/>
          </w:tcPr>
          <w:p w14:paraId="3295F43E" w14:textId="220694F4" w:rsidR="00735F99" w:rsidRPr="008C2A9A" w:rsidRDefault="00735F99" w:rsidP="008C2A9A"/>
        </w:tc>
        <w:tc>
          <w:tcPr>
            <w:tcW w:w="6835" w:type="dxa"/>
            <w:gridSpan w:val="4"/>
            <w:vMerge w:val="restart"/>
          </w:tcPr>
          <w:p w14:paraId="067A1BD7" w14:textId="53E39B98" w:rsidR="005C7150" w:rsidRPr="008C2A9A" w:rsidRDefault="005C7150" w:rsidP="008C2A9A">
            <w:pPr>
              <w:pStyle w:val="TextBody"/>
              <w:spacing w:line="240" w:lineRule="auto"/>
            </w:pPr>
            <w:r w:rsidRPr="008C2A9A">
              <w:t>En la mayoría de las universidades, no hay que elegir una especialización sino hasta el final del segundo año, e incluso entonces se puede cambiar de opinión.</w:t>
            </w:r>
          </w:p>
          <w:p w14:paraId="70A48F62" w14:textId="441576C4" w:rsidR="005C7150" w:rsidRPr="008C2A9A" w:rsidRDefault="005C7150" w:rsidP="008C2A9A">
            <w:pPr>
              <w:pStyle w:val="TextBody"/>
              <w:spacing w:line="240" w:lineRule="auto"/>
            </w:pPr>
            <w:r w:rsidRPr="008C2A9A">
              <w:t>Ayude a su hijo adolescente a explorar las posibilidades con estas preguntas:</w:t>
            </w:r>
          </w:p>
          <w:p w14:paraId="741D8AAD" w14:textId="77777777" w:rsidR="005C7150" w:rsidRPr="008C2A9A" w:rsidRDefault="005C7150" w:rsidP="008C2A9A">
            <w:pPr>
              <w:pStyle w:val="TextBody"/>
              <w:numPr>
                <w:ilvl w:val="0"/>
                <w:numId w:val="3"/>
              </w:numPr>
              <w:spacing w:line="240" w:lineRule="auto"/>
            </w:pPr>
            <w:r w:rsidRPr="008C2A9A">
              <w:t>¿Cuáles son las cosas que crees que haces bien?</w:t>
            </w:r>
          </w:p>
          <w:p w14:paraId="2C5DF43A" w14:textId="77777777" w:rsidR="005C7150" w:rsidRPr="008C2A9A" w:rsidRDefault="005C7150" w:rsidP="008C2A9A">
            <w:pPr>
              <w:pStyle w:val="TextBody"/>
              <w:numPr>
                <w:ilvl w:val="0"/>
                <w:numId w:val="3"/>
              </w:numPr>
              <w:spacing w:line="240" w:lineRule="auto"/>
            </w:pPr>
            <w:r w:rsidRPr="008C2A9A">
              <w:t>¿Qué te parece desafiante?</w:t>
            </w:r>
          </w:p>
          <w:p w14:paraId="2B6F25C5" w14:textId="77777777" w:rsidR="005C7150" w:rsidRPr="008C2A9A" w:rsidRDefault="005C7150" w:rsidP="008C2A9A">
            <w:pPr>
              <w:pStyle w:val="TextBody"/>
              <w:numPr>
                <w:ilvl w:val="0"/>
                <w:numId w:val="3"/>
              </w:numPr>
              <w:spacing w:line="240" w:lineRule="auto"/>
            </w:pPr>
            <w:r w:rsidRPr="008C2A9A">
              <w:t>¿Qué te gusta hacer para divertirte?</w:t>
            </w:r>
          </w:p>
          <w:p w14:paraId="6208C218" w14:textId="77777777" w:rsidR="005C7150" w:rsidRPr="008C2A9A" w:rsidRDefault="005C7150" w:rsidP="008C2A9A">
            <w:pPr>
              <w:pStyle w:val="TextBody"/>
              <w:numPr>
                <w:ilvl w:val="0"/>
                <w:numId w:val="3"/>
              </w:numPr>
              <w:spacing w:line="240" w:lineRule="auto"/>
            </w:pPr>
            <w:r w:rsidRPr="008C2A9A">
              <w:t>¿Qué es lo que siempre has querido intentar?</w:t>
            </w:r>
          </w:p>
          <w:p w14:paraId="050AF029" w14:textId="77777777" w:rsidR="005C7150" w:rsidRPr="008C2A9A" w:rsidRDefault="005C7150" w:rsidP="008C2A9A">
            <w:pPr>
              <w:pStyle w:val="TextBody"/>
              <w:numPr>
                <w:ilvl w:val="0"/>
                <w:numId w:val="3"/>
              </w:numPr>
              <w:spacing w:line="240" w:lineRule="auto"/>
            </w:pPr>
            <w:r w:rsidRPr="008C2A9A">
              <w:t>¿Qué te interesa?</w:t>
            </w:r>
          </w:p>
          <w:p w14:paraId="0FABF56B" w14:textId="77777777" w:rsidR="005C7150" w:rsidRPr="008C2A9A" w:rsidRDefault="005C7150" w:rsidP="008C2A9A">
            <w:pPr>
              <w:pStyle w:val="TextBody"/>
              <w:numPr>
                <w:ilvl w:val="0"/>
                <w:numId w:val="3"/>
              </w:numPr>
              <w:spacing w:line="240" w:lineRule="auto"/>
            </w:pPr>
            <w:r w:rsidRPr="008C2A9A">
              <w:t>¿Cuál es tu clase favorita?</w:t>
            </w:r>
          </w:p>
          <w:p w14:paraId="52F2B6E7" w14:textId="77777777" w:rsidR="005C7150" w:rsidRPr="008C2A9A" w:rsidRDefault="005C7150" w:rsidP="008C2A9A">
            <w:pPr>
              <w:pStyle w:val="TextBody"/>
              <w:numPr>
                <w:ilvl w:val="0"/>
                <w:numId w:val="3"/>
              </w:numPr>
              <w:spacing w:line="240" w:lineRule="auto"/>
            </w:pPr>
            <w:r w:rsidRPr="008C2A9A">
              <w:t>Si pudieras hacer cualquier trabajo por un día, ¿cuál sería?</w:t>
            </w:r>
          </w:p>
          <w:p w14:paraId="622F06CA" w14:textId="0E58B086" w:rsidR="00506E7D" w:rsidRPr="008C2A9A" w:rsidRDefault="005C7150" w:rsidP="008C2A9A">
            <w:pPr>
              <w:pStyle w:val="TextBody"/>
              <w:spacing w:line="240" w:lineRule="auto"/>
            </w:pPr>
            <w:r w:rsidRPr="008C2A9A">
              <w:t xml:space="preserve">Además, recuerde que unirse a clubes, trabajar, ser voluntario e incluso simplemente hablar con la gente puede ayudar a su hijo adolescente a descubrir qué le interesa. Nunca se sabe; estas actividades podrían llevar a su hijo al trabajo de sus sueños. </w:t>
            </w:r>
          </w:p>
        </w:tc>
      </w:tr>
      <w:tr w:rsidR="00735F99" w:rsidRPr="008C2A9A" w14:paraId="7CB159C4" w14:textId="77777777" w:rsidTr="005C7150">
        <w:trPr>
          <w:trHeight w:val="3562"/>
        </w:trPr>
        <w:tc>
          <w:tcPr>
            <w:tcW w:w="3678" w:type="dxa"/>
            <w:tcBorders>
              <w:bottom w:val="single" w:sz="18" w:space="0" w:color="auto"/>
            </w:tcBorders>
          </w:tcPr>
          <w:p w14:paraId="3E8003DF" w14:textId="253A7206" w:rsidR="00101F9A" w:rsidRPr="008C2A9A" w:rsidRDefault="00101F9A" w:rsidP="008C2A9A">
            <w:pPr>
              <w:pStyle w:val="TextBody"/>
              <w:spacing w:line="240" w:lineRule="auto"/>
            </w:pPr>
            <w:r w:rsidRPr="008C2A9A">
              <w:t xml:space="preserve">Una especialización es una materia específica en la que los estudiantes se especializan durante la universidad. </w:t>
            </w:r>
            <w:r w:rsidR="008C2A9A">
              <w:br/>
            </w:r>
            <w:r w:rsidRPr="008C2A9A">
              <w:t xml:space="preserve">Los estudiantes deben elegir una especialización y tomar clases en las áreas que les atraigan y motiven. Muchas especializaciones preparan a los estudiantes para acceder a una serie </w:t>
            </w:r>
            <w:r w:rsidR="008C2A9A">
              <w:br/>
            </w:r>
            <w:r w:rsidRPr="008C2A9A">
              <w:t xml:space="preserve">de carreras tras la graduación. </w:t>
            </w:r>
          </w:p>
          <w:p w14:paraId="0E530A90" w14:textId="277D5769" w:rsidR="00C458B0" w:rsidRPr="008C2A9A" w:rsidRDefault="00101F9A" w:rsidP="008C2A9A">
            <w:pPr>
              <w:pStyle w:val="TextBody"/>
              <w:spacing w:line="240" w:lineRule="auto"/>
            </w:pPr>
            <w:r w:rsidRPr="008C2A9A">
              <w:t>Para muchos estudiantes, elegir una especialización en la universidad no es lo mismo que elegir un trabajo. Dependerá de ellos elegir una trayectoria profesional que les guste. Por ejemplo, una licenciatura en Literatura Inglesa puede llevarle a trabajar en edición, enseñanza, publicidad, relaciones públicas o derecho, entre otros</w:t>
            </w:r>
            <w:r w:rsidR="008C2A9A">
              <w:t> </w:t>
            </w:r>
            <w:r w:rsidRPr="008C2A9A">
              <w:t>campos.</w:t>
            </w:r>
          </w:p>
          <w:p w14:paraId="7CEC2781" w14:textId="212D2BF8" w:rsidR="00AE786F" w:rsidRPr="008C2A9A" w:rsidRDefault="00AE786F" w:rsidP="008C2A9A">
            <w:pPr>
              <w:pStyle w:val="TextBody"/>
              <w:spacing w:line="240" w:lineRule="auto"/>
            </w:pPr>
          </w:p>
        </w:tc>
        <w:tc>
          <w:tcPr>
            <w:tcW w:w="277" w:type="dxa"/>
            <w:vMerge/>
            <w:tcBorders>
              <w:bottom w:val="single" w:sz="18" w:space="0" w:color="auto"/>
            </w:tcBorders>
          </w:tcPr>
          <w:p w14:paraId="0AB48CA8" w14:textId="77777777" w:rsidR="00735F99" w:rsidRPr="008C2A9A" w:rsidRDefault="00735F99" w:rsidP="008C2A9A"/>
        </w:tc>
        <w:tc>
          <w:tcPr>
            <w:tcW w:w="6835" w:type="dxa"/>
            <w:gridSpan w:val="4"/>
            <w:vMerge/>
            <w:tcBorders>
              <w:bottom w:val="single" w:sz="18" w:space="0" w:color="auto"/>
            </w:tcBorders>
          </w:tcPr>
          <w:p w14:paraId="021F0FE4" w14:textId="77777777" w:rsidR="00735F99" w:rsidRPr="008C2A9A" w:rsidRDefault="00735F99" w:rsidP="008C2A9A">
            <w:pPr>
              <w:pStyle w:val="TextBody"/>
              <w:spacing w:line="240" w:lineRule="auto"/>
            </w:pPr>
          </w:p>
        </w:tc>
      </w:tr>
      <w:tr w:rsidR="00A2081B" w:rsidRPr="008C2A9A" w14:paraId="6FE7AA31" w14:textId="77777777" w:rsidTr="00035894">
        <w:trPr>
          <w:trHeight w:val="2508"/>
        </w:trPr>
        <w:tc>
          <w:tcPr>
            <w:tcW w:w="7283" w:type="dxa"/>
            <w:gridSpan w:val="3"/>
          </w:tcPr>
          <w:p w14:paraId="6EA54A0F" w14:textId="7F672800" w:rsidR="00A2081B" w:rsidRPr="008C2A9A" w:rsidRDefault="008D4894" w:rsidP="008C2A9A">
            <w:pPr>
              <w:pStyle w:val="Titlenormal"/>
              <w:spacing w:line="240" w:lineRule="auto"/>
            </w:pPr>
            <w:bookmarkStart w:id="0" w:name="_Hlk171421610"/>
            <w:r w:rsidRPr="008C2A9A">
              <w:t>LISTA DE VERIFICACIÓN PARA EL ESTUDIANTE</w:t>
            </w:r>
          </w:p>
          <w:p w14:paraId="7325A38B" w14:textId="77777777" w:rsidR="0053173D" w:rsidRPr="008C2A9A" w:rsidRDefault="0053173D" w:rsidP="008C2A9A">
            <w:pPr>
              <w:pStyle w:val="TextBody"/>
              <w:numPr>
                <w:ilvl w:val="0"/>
                <w:numId w:val="36"/>
              </w:numPr>
              <w:spacing w:line="240" w:lineRule="auto"/>
            </w:pPr>
            <w:r w:rsidRPr="008C2A9A">
              <w:t xml:space="preserve">Mantente activo y saludable. </w:t>
            </w:r>
          </w:p>
          <w:p w14:paraId="06000BA1" w14:textId="77777777" w:rsidR="0053173D" w:rsidRPr="008C2A9A" w:rsidRDefault="0053173D" w:rsidP="008C2A9A">
            <w:pPr>
              <w:pStyle w:val="TextBody"/>
              <w:numPr>
                <w:ilvl w:val="0"/>
                <w:numId w:val="36"/>
              </w:numPr>
              <w:spacing w:line="240" w:lineRule="auto"/>
              <w:rPr>
                <w:lang w:val="pt-BR"/>
              </w:rPr>
            </w:pPr>
            <w:r w:rsidRPr="008C2A9A">
              <w:rPr>
                <w:lang w:val="pt-BR"/>
              </w:rPr>
              <w:t xml:space="preserve">¡Lee! Visita tu biblioteca local. </w:t>
            </w:r>
          </w:p>
          <w:p w14:paraId="19CD1360" w14:textId="4ACADAE8" w:rsidR="009C2CC0" w:rsidRPr="008C2A9A" w:rsidRDefault="0053173D" w:rsidP="008C2A9A">
            <w:pPr>
              <w:pStyle w:val="TextBody"/>
              <w:numPr>
                <w:ilvl w:val="0"/>
                <w:numId w:val="36"/>
              </w:numPr>
              <w:spacing w:line="240" w:lineRule="auto"/>
            </w:pPr>
            <w:r w:rsidRPr="008C2A9A">
              <w:t>Averigua si tu escuela ofrece un programa summer bridge (puente de verano) o un programa de transición. Si es así, asegúrate de participar.</w:t>
            </w:r>
          </w:p>
        </w:tc>
        <w:tc>
          <w:tcPr>
            <w:tcW w:w="270" w:type="dxa"/>
            <w:vMerge w:val="restart"/>
            <w:tcBorders>
              <w:right w:val="single" w:sz="18" w:space="0" w:color="auto"/>
            </w:tcBorders>
          </w:tcPr>
          <w:p w14:paraId="6B6D195F" w14:textId="648B12CD" w:rsidR="00A2081B" w:rsidRPr="008C2A9A" w:rsidRDefault="00A2081B" w:rsidP="008C2A9A">
            <w:pPr>
              <w:rPr>
                <w:sz w:val="10"/>
                <w:szCs w:val="10"/>
              </w:rPr>
            </w:pPr>
          </w:p>
        </w:tc>
        <w:tc>
          <w:tcPr>
            <w:tcW w:w="236" w:type="dxa"/>
            <w:vMerge w:val="restart"/>
            <w:tcBorders>
              <w:left w:val="single" w:sz="18" w:space="0" w:color="auto"/>
            </w:tcBorders>
          </w:tcPr>
          <w:p w14:paraId="53734700" w14:textId="0798401D" w:rsidR="00A2081B" w:rsidRPr="008C2A9A" w:rsidRDefault="00A2081B" w:rsidP="008C2A9A">
            <w:pPr>
              <w:rPr>
                <w:sz w:val="10"/>
                <w:szCs w:val="10"/>
              </w:rPr>
            </w:pPr>
          </w:p>
        </w:tc>
        <w:tc>
          <w:tcPr>
            <w:tcW w:w="3001" w:type="dxa"/>
            <w:vMerge w:val="restart"/>
          </w:tcPr>
          <w:p w14:paraId="6F50C7C7" w14:textId="4A85DFA8" w:rsidR="008D4894" w:rsidRPr="008C2A9A" w:rsidRDefault="00A2081B" w:rsidP="008C2A9A">
            <w:pPr>
              <w:pStyle w:val="Titlenormal"/>
              <w:spacing w:line="240" w:lineRule="auto"/>
            </w:pPr>
            <w:r w:rsidRPr="008C2A9A">
              <w:t>MITOS Y REALIDADES</w:t>
            </w:r>
          </w:p>
          <w:p w14:paraId="6674F3F7" w14:textId="77777777" w:rsidR="0098368D" w:rsidRPr="008C2A9A" w:rsidRDefault="0098368D" w:rsidP="008C2A9A">
            <w:pPr>
              <w:pStyle w:val="TextBody"/>
              <w:spacing w:line="240" w:lineRule="auto"/>
            </w:pPr>
            <w:r w:rsidRPr="008C2A9A">
              <w:rPr>
                <w:b/>
                <w:color w:val="335B74" w:themeColor="text2"/>
              </w:rPr>
              <w:t>MITO:</w:t>
            </w:r>
            <w:r w:rsidRPr="008C2A9A">
              <w:t xml:space="preserve"> Los adolescentes no necesitan dormir.</w:t>
            </w:r>
          </w:p>
          <w:p w14:paraId="7E01F043" w14:textId="47A9E0E5" w:rsidR="0098368D" w:rsidRPr="008C2A9A" w:rsidRDefault="0098368D" w:rsidP="008C2A9A">
            <w:pPr>
              <w:pStyle w:val="TextBody"/>
              <w:spacing w:line="240" w:lineRule="auto"/>
            </w:pPr>
            <w:r w:rsidRPr="008C2A9A">
              <w:rPr>
                <w:b/>
                <w:color w:val="335B74" w:themeColor="text2"/>
              </w:rPr>
              <w:t>REALIDAD:</w:t>
            </w:r>
            <w:r w:rsidRPr="008C2A9A">
              <w:t xml:space="preserve"> Los adolescentes necesitan dormir lo mismo o más que cuando eran niños: entre nueve y diez horas es lo óptimo. </w:t>
            </w:r>
          </w:p>
          <w:p w14:paraId="2B6B317A" w14:textId="5283F961" w:rsidR="0098368D" w:rsidRPr="008C2A9A" w:rsidRDefault="0098368D" w:rsidP="008C2A9A">
            <w:pPr>
              <w:pStyle w:val="TextBody"/>
              <w:spacing w:line="240" w:lineRule="auto"/>
            </w:pPr>
            <w:r w:rsidRPr="008C2A9A">
              <w:t xml:space="preserve">La mayoría de los adolescentes sufren privación crónica del sueño, con un promedio de seis a siete horas por noche. Parte de la culpa puede atribuirse a los horarios de entrada temprana a la escuela y a que muchos adolescentes se acuestan a las 11 p. m. o a medianoche, lo que provoca un déficit de sueño considerable. </w:t>
            </w:r>
          </w:p>
          <w:p w14:paraId="08779DA6" w14:textId="431445FC" w:rsidR="00A2081B" w:rsidRPr="008C2A9A" w:rsidRDefault="0098368D" w:rsidP="008C2A9A">
            <w:pPr>
              <w:pStyle w:val="TextBody"/>
              <w:spacing w:line="240" w:lineRule="auto"/>
            </w:pPr>
            <w:r w:rsidRPr="008C2A9A">
              <w:rPr>
                <w:noProof/>
              </w:rPr>
              <w:drawing>
                <wp:anchor distT="0" distB="0" distL="114300" distR="114300" simplePos="0" relativeHeight="251668480" behindDoc="0" locked="0" layoutInCell="1" allowOverlap="1" wp14:anchorId="6B6B7B5D" wp14:editId="30D7C174">
                  <wp:simplePos x="0" y="0"/>
                  <wp:positionH relativeFrom="margin">
                    <wp:posOffset>546100</wp:posOffset>
                  </wp:positionH>
                  <wp:positionV relativeFrom="margin">
                    <wp:posOffset>3903203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8C2A9A">
              <w:t>La falta de sueño afecta a su capacidad para aprender y retener material nuevo, sobre todo en materias abstractas como física, filosofía, matemáticas y cálculo.</w:t>
            </w:r>
          </w:p>
        </w:tc>
      </w:tr>
      <w:tr w:rsidR="00DF4B6A" w:rsidRPr="008C2A9A" w14:paraId="189CF860" w14:textId="77777777" w:rsidTr="00AE786F">
        <w:trPr>
          <w:trHeight w:val="69"/>
        </w:trPr>
        <w:tc>
          <w:tcPr>
            <w:tcW w:w="3678" w:type="dxa"/>
          </w:tcPr>
          <w:p w14:paraId="518A0B8D" w14:textId="20370C86" w:rsidR="00DF4B6A" w:rsidRPr="008C2A9A" w:rsidRDefault="00DF4B6A" w:rsidP="008C2A9A">
            <w:pPr>
              <w:pStyle w:val="TextBody"/>
              <w:spacing w:line="240" w:lineRule="auto"/>
            </w:pPr>
          </w:p>
        </w:tc>
        <w:tc>
          <w:tcPr>
            <w:tcW w:w="277" w:type="dxa"/>
          </w:tcPr>
          <w:p w14:paraId="37EA0407" w14:textId="77777777" w:rsidR="00DF4B6A" w:rsidRPr="008C2A9A" w:rsidRDefault="00DF4B6A" w:rsidP="008C2A9A">
            <w:pPr>
              <w:pStyle w:val="TextBody"/>
              <w:spacing w:line="240" w:lineRule="auto"/>
            </w:pPr>
          </w:p>
        </w:tc>
        <w:tc>
          <w:tcPr>
            <w:tcW w:w="3328" w:type="dxa"/>
          </w:tcPr>
          <w:p w14:paraId="27A95849" w14:textId="072D1BF7" w:rsidR="00DF4B6A" w:rsidRPr="008C2A9A" w:rsidRDefault="00DF4B6A" w:rsidP="008C2A9A">
            <w:pPr>
              <w:pStyle w:val="TextBody"/>
              <w:spacing w:line="240" w:lineRule="auto"/>
            </w:pPr>
          </w:p>
        </w:tc>
        <w:tc>
          <w:tcPr>
            <w:tcW w:w="270" w:type="dxa"/>
            <w:vMerge/>
            <w:tcBorders>
              <w:right w:val="single" w:sz="18" w:space="0" w:color="auto"/>
            </w:tcBorders>
          </w:tcPr>
          <w:p w14:paraId="26ACB6E5" w14:textId="77777777" w:rsidR="00DF4B6A" w:rsidRPr="008C2A9A" w:rsidRDefault="00DF4B6A" w:rsidP="008C2A9A">
            <w:pPr>
              <w:pStyle w:val="TextBody"/>
              <w:spacing w:line="240" w:lineRule="auto"/>
            </w:pPr>
          </w:p>
        </w:tc>
        <w:tc>
          <w:tcPr>
            <w:tcW w:w="236" w:type="dxa"/>
            <w:vMerge/>
            <w:tcBorders>
              <w:left w:val="single" w:sz="18" w:space="0" w:color="auto"/>
            </w:tcBorders>
          </w:tcPr>
          <w:p w14:paraId="4AF148E1" w14:textId="77777777" w:rsidR="00DF4B6A" w:rsidRPr="008C2A9A" w:rsidRDefault="00DF4B6A" w:rsidP="008C2A9A">
            <w:pPr>
              <w:pStyle w:val="TextBody"/>
              <w:spacing w:line="240" w:lineRule="auto"/>
            </w:pPr>
          </w:p>
        </w:tc>
        <w:tc>
          <w:tcPr>
            <w:tcW w:w="3001" w:type="dxa"/>
            <w:vMerge/>
          </w:tcPr>
          <w:p w14:paraId="2585C9D7" w14:textId="77777777" w:rsidR="00DF4B6A" w:rsidRPr="008C2A9A" w:rsidRDefault="00DF4B6A" w:rsidP="008C2A9A">
            <w:pPr>
              <w:pStyle w:val="TextBody"/>
              <w:spacing w:line="240" w:lineRule="auto"/>
            </w:pPr>
          </w:p>
        </w:tc>
      </w:tr>
      <w:tr w:rsidR="00A2081B" w:rsidRPr="008C2A9A" w14:paraId="5FF5C757" w14:textId="77777777" w:rsidTr="00035894">
        <w:trPr>
          <w:trHeight w:val="3600"/>
        </w:trPr>
        <w:tc>
          <w:tcPr>
            <w:tcW w:w="7283" w:type="dxa"/>
            <w:gridSpan w:val="3"/>
          </w:tcPr>
          <w:p w14:paraId="4D7751F6" w14:textId="3E84CE55" w:rsidR="00A2081B" w:rsidRPr="008C2A9A" w:rsidRDefault="008D4894" w:rsidP="008C2A9A">
            <w:pPr>
              <w:pStyle w:val="Titlenormal"/>
              <w:spacing w:line="240" w:lineRule="auto"/>
            </w:pPr>
            <w:r w:rsidRPr="008C2A9A">
              <w:t xml:space="preserve">LISTA DE VERIFICACIÓN PARA LA FAMILIA  </w:t>
            </w:r>
          </w:p>
          <w:p w14:paraId="197C433E" w14:textId="77777777" w:rsidR="00AE786F" w:rsidRPr="008C2A9A" w:rsidRDefault="00AE786F" w:rsidP="008C2A9A">
            <w:pPr>
              <w:pStyle w:val="TextBody"/>
              <w:numPr>
                <w:ilvl w:val="0"/>
                <w:numId w:val="38"/>
              </w:numPr>
              <w:spacing w:line="240" w:lineRule="auto"/>
            </w:pPr>
            <w:r w:rsidRPr="008C2A9A">
              <w:t>Fomenten la lectura durante todo el verano.</w:t>
            </w:r>
          </w:p>
          <w:p w14:paraId="4F2C511A" w14:textId="77777777" w:rsidR="00AE786F" w:rsidRPr="008C2A9A" w:rsidRDefault="00AE786F" w:rsidP="008C2A9A">
            <w:pPr>
              <w:pStyle w:val="TextBody"/>
              <w:numPr>
                <w:ilvl w:val="0"/>
                <w:numId w:val="38"/>
              </w:numPr>
              <w:spacing w:line="240" w:lineRule="auto"/>
            </w:pPr>
            <w:r w:rsidRPr="008C2A9A">
              <w:t xml:space="preserve">Averigüen a qué campamentos cercanos podría asistir su hijo durante el día. </w:t>
            </w:r>
          </w:p>
          <w:p w14:paraId="72303965" w14:textId="77777777" w:rsidR="00AE786F" w:rsidRPr="008C2A9A" w:rsidRDefault="00AE786F" w:rsidP="008C2A9A">
            <w:pPr>
              <w:pStyle w:val="TextBody"/>
              <w:numPr>
                <w:ilvl w:val="0"/>
                <w:numId w:val="38"/>
              </w:numPr>
              <w:spacing w:line="240" w:lineRule="auto"/>
            </w:pPr>
            <w:r w:rsidRPr="008C2A9A">
              <w:t>Animen a su hijo adolescente a mantenerse activo. Aprovechen el clima más cálido y mantengan a los jóvenes activos al aire libre.</w:t>
            </w:r>
          </w:p>
          <w:p w14:paraId="3F16C78F" w14:textId="7553403E" w:rsidR="00AE786F" w:rsidRPr="008C2A9A" w:rsidRDefault="00AE786F" w:rsidP="008C2A9A">
            <w:pPr>
              <w:pStyle w:val="TextBody"/>
              <w:numPr>
                <w:ilvl w:val="0"/>
                <w:numId w:val="38"/>
              </w:numPr>
              <w:spacing w:line="240" w:lineRule="auto"/>
            </w:pPr>
            <w:r w:rsidRPr="008C2A9A">
              <w:t xml:space="preserve">Averigüen si la preparatoria de su hijo ofrece un programa summer bridge (puente de verano) o un programa de transición. Estos programas ayudan a los estudiantes de noveno grado a dar el salto de la escuela secundaria a la preparatoria. Si se ofrece, animen a su hijo a participar. </w:t>
            </w:r>
          </w:p>
          <w:p w14:paraId="70988759" w14:textId="75CC3D4C" w:rsidR="00F75507" w:rsidRPr="008C2A9A" w:rsidRDefault="00F75507" w:rsidP="008C2A9A">
            <w:pPr>
              <w:pStyle w:val="TextBody"/>
              <w:spacing w:line="240" w:lineRule="auto"/>
            </w:pPr>
          </w:p>
        </w:tc>
        <w:tc>
          <w:tcPr>
            <w:tcW w:w="270" w:type="dxa"/>
            <w:vMerge/>
            <w:tcBorders>
              <w:right w:val="single" w:sz="18" w:space="0" w:color="auto"/>
            </w:tcBorders>
          </w:tcPr>
          <w:p w14:paraId="268D509A" w14:textId="77777777" w:rsidR="00A2081B" w:rsidRPr="008C2A9A" w:rsidRDefault="00A2081B" w:rsidP="008C2A9A">
            <w:pPr>
              <w:rPr>
                <w:sz w:val="10"/>
                <w:szCs w:val="10"/>
              </w:rPr>
            </w:pPr>
          </w:p>
        </w:tc>
        <w:tc>
          <w:tcPr>
            <w:tcW w:w="236" w:type="dxa"/>
            <w:vMerge/>
            <w:tcBorders>
              <w:left w:val="single" w:sz="18" w:space="0" w:color="auto"/>
            </w:tcBorders>
          </w:tcPr>
          <w:p w14:paraId="1659F3BF" w14:textId="77777777" w:rsidR="00A2081B" w:rsidRPr="008C2A9A" w:rsidRDefault="00A2081B" w:rsidP="008C2A9A">
            <w:pPr>
              <w:rPr>
                <w:sz w:val="10"/>
                <w:szCs w:val="10"/>
              </w:rPr>
            </w:pPr>
          </w:p>
        </w:tc>
        <w:tc>
          <w:tcPr>
            <w:tcW w:w="3001" w:type="dxa"/>
            <w:vMerge/>
          </w:tcPr>
          <w:p w14:paraId="13E8AB06" w14:textId="77777777" w:rsidR="00A2081B" w:rsidRPr="008C2A9A" w:rsidRDefault="00A2081B" w:rsidP="008C2A9A">
            <w:pPr>
              <w:pStyle w:val="TextBody"/>
              <w:spacing w:line="240" w:lineRule="auto"/>
            </w:pPr>
          </w:p>
        </w:tc>
      </w:tr>
      <w:bookmarkEnd w:id="0"/>
    </w:tbl>
    <w:p w14:paraId="4D742708" w14:textId="0CCC7611" w:rsidR="009E21E2" w:rsidRPr="008C2A9A" w:rsidRDefault="009E21E2" w:rsidP="00181517">
      <w:pPr>
        <w:pStyle w:val="TextBody"/>
      </w:pPr>
    </w:p>
    <w:p w14:paraId="4229C740" w14:textId="43CF2146" w:rsidR="00A40213" w:rsidRPr="008C2A9A" w:rsidRDefault="00A40213" w:rsidP="00F263B8"/>
    <w:sectPr w:rsidR="00A40213" w:rsidRPr="008C2A9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3D36" w14:textId="77777777" w:rsidR="00B12D0F" w:rsidRDefault="00B12D0F" w:rsidP="001D6100">
      <w:r>
        <w:separator/>
      </w:r>
    </w:p>
  </w:endnote>
  <w:endnote w:type="continuationSeparator" w:id="0">
    <w:p w14:paraId="15160523" w14:textId="77777777" w:rsidR="00B12D0F" w:rsidRDefault="00B12D0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0CCE" w14:textId="77777777" w:rsidR="00B12D0F" w:rsidRDefault="00B12D0F" w:rsidP="001D6100">
      <w:r>
        <w:separator/>
      </w:r>
    </w:p>
  </w:footnote>
  <w:footnote w:type="continuationSeparator" w:id="0">
    <w:p w14:paraId="0432A11A" w14:textId="77777777" w:rsidR="00B12D0F" w:rsidRDefault="00B12D0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8"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2"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10"/>
  </w:num>
  <w:num w:numId="2">
    <w:abstractNumId w:val="18"/>
  </w:num>
  <w:num w:numId="3">
    <w:abstractNumId w:val="28"/>
  </w:num>
  <w:num w:numId="4">
    <w:abstractNumId w:val="34"/>
  </w:num>
  <w:num w:numId="5">
    <w:abstractNumId w:val="16"/>
  </w:num>
  <w:num w:numId="6">
    <w:abstractNumId w:val="4"/>
  </w:num>
  <w:num w:numId="7">
    <w:abstractNumId w:val="15"/>
  </w:num>
  <w:num w:numId="8">
    <w:abstractNumId w:val="31"/>
  </w:num>
  <w:num w:numId="9">
    <w:abstractNumId w:val="20"/>
  </w:num>
  <w:num w:numId="10">
    <w:abstractNumId w:val="35"/>
  </w:num>
  <w:num w:numId="11">
    <w:abstractNumId w:val="22"/>
  </w:num>
  <w:num w:numId="12">
    <w:abstractNumId w:val="7"/>
  </w:num>
  <w:num w:numId="13">
    <w:abstractNumId w:val="25"/>
  </w:num>
  <w:num w:numId="14">
    <w:abstractNumId w:val="32"/>
  </w:num>
  <w:num w:numId="15">
    <w:abstractNumId w:val="17"/>
  </w:num>
  <w:num w:numId="16">
    <w:abstractNumId w:val="12"/>
  </w:num>
  <w:num w:numId="17">
    <w:abstractNumId w:val="19"/>
  </w:num>
  <w:num w:numId="18">
    <w:abstractNumId w:val="9"/>
  </w:num>
  <w:num w:numId="19">
    <w:abstractNumId w:val="14"/>
  </w:num>
  <w:num w:numId="20">
    <w:abstractNumId w:val="30"/>
  </w:num>
  <w:num w:numId="21">
    <w:abstractNumId w:val="33"/>
  </w:num>
  <w:num w:numId="22">
    <w:abstractNumId w:val="5"/>
  </w:num>
  <w:num w:numId="23">
    <w:abstractNumId w:val="27"/>
  </w:num>
  <w:num w:numId="24">
    <w:abstractNumId w:val="26"/>
  </w:num>
  <w:num w:numId="25">
    <w:abstractNumId w:val="0"/>
  </w:num>
  <w:num w:numId="26">
    <w:abstractNumId w:val="8"/>
  </w:num>
  <w:num w:numId="27">
    <w:abstractNumId w:val="6"/>
  </w:num>
  <w:num w:numId="28">
    <w:abstractNumId w:val="21"/>
  </w:num>
  <w:num w:numId="29">
    <w:abstractNumId w:val="1"/>
  </w:num>
  <w:num w:numId="30">
    <w:abstractNumId w:val="24"/>
  </w:num>
  <w:num w:numId="31">
    <w:abstractNumId w:val="13"/>
  </w:num>
  <w:num w:numId="32">
    <w:abstractNumId w:val="2"/>
  </w:num>
  <w:num w:numId="33">
    <w:abstractNumId w:val="3"/>
  </w:num>
  <w:num w:numId="34">
    <w:abstractNumId w:val="36"/>
  </w:num>
  <w:num w:numId="35">
    <w:abstractNumId w:val="37"/>
  </w:num>
  <w:num w:numId="36">
    <w:abstractNumId w:val="29"/>
  </w:num>
  <w:num w:numId="37">
    <w:abstractNumId w:val="2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7661"/>
    <w:rsid w:val="00081267"/>
    <w:rsid w:val="000A06A1"/>
    <w:rsid w:val="000A5A63"/>
    <w:rsid w:val="000A6C87"/>
    <w:rsid w:val="000B6844"/>
    <w:rsid w:val="000B7BB9"/>
    <w:rsid w:val="000E06E3"/>
    <w:rsid w:val="000E5FB8"/>
    <w:rsid w:val="00101F9A"/>
    <w:rsid w:val="00107FEB"/>
    <w:rsid w:val="00127324"/>
    <w:rsid w:val="001308E7"/>
    <w:rsid w:val="0013534A"/>
    <w:rsid w:val="00167AB3"/>
    <w:rsid w:val="00173094"/>
    <w:rsid w:val="00181517"/>
    <w:rsid w:val="001A1B0F"/>
    <w:rsid w:val="001B6177"/>
    <w:rsid w:val="001D6100"/>
    <w:rsid w:val="001E5E99"/>
    <w:rsid w:val="001F52E4"/>
    <w:rsid w:val="001F6AC3"/>
    <w:rsid w:val="00204618"/>
    <w:rsid w:val="00211907"/>
    <w:rsid w:val="002148ED"/>
    <w:rsid w:val="00221E59"/>
    <w:rsid w:val="00222BFE"/>
    <w:rsid w:val="00235CED"/>
    <w:rsid w:val="002726A0"/>
    <w:rsid w:val="0029277F"/>
    <w:rsid w:val="002C1A0E"/>
    <w:rsid w:val="002C5B07"/>
    <w:rsid w:val="002C63BB"/>
    <w:rsid w:val="002D1CEF"/>
    <w:rsid w:val="002F4871"/>
    <w:rsid w:val="00302C98"/>
    <w:rsid w:val="00315984"/>
    <w:rsid w:val="003369A2"/>
    <w:rsid w:val="003766A2"/>
    <w:rsid w:val="003924B1"/>
    <w:rsid w:val="00397474"/>
    <w:rsid w:val="00397BC4"/>
    <w:rsid w:val="003B340C"/>
    <w:rsid w:val="003E115A"/>
    <w:rsid w:val="00405FB7"/>
    <w:rsid w:val="00412376"/>
    <w:rsid w:val="00414D6A"/>
    <w:rsid w:val="00416435"/>
    <w:rsid w:val="00434553"/>
    <w:rsid w:val="004835D8"/>
    <w:rsid w:val="00493ED8"/>
    <w:rsid w:val="004B1CE7"/>
    <w:rsid w:val="004D4B2A"/>
    <w:rsid w:val="004F003A"/>
    <w:rsid w:val="00506E7D"/>
    <w:rsid w:val="00507EA1"/>
    <w:rsid w:val="00513C62"/>
    <w:rsid w:val="005175A5"/>
    <w:rsid w:val="00526A1D"/>
    <w:rsid w:val="0053173D"/>
    <w:rsid w:val="00542638"/>
    <w:rsid w:val="00545843"/>
    <w:rsid w:val="005728F5"/>
    <w:rsid w:val="005A7A4F"/>
    <w:rsid w:val="005C7150"/>
    <w:rsid w:val="0060774D"/>
    <w:rsid w:val="00615348"/>
    <w:rsid w:val="0063471A"/>
    <w:rsid w:val="00645773"/>
    <w:rsid w:val="00654229"/>
    <w:rsid w:val="00685DBB"/>
    <w:rsid w:val="00692977"/>
    <w:rsid w:val="00692B40"/>
    <w:rsid w:val="006A6D66"/>
    <w:rsid w:val="006B498E"/>
    <w:rsid w:val="006C30F5"/>
    <w:rsid w:val="006C5F05"/>
    <w:rsid w:val="006C60E6"/>
    <w:rsid w:val="006E3FC7"/>
    <w:rsid w:val="00706F8F"/>
    <w:rsid w:val="007118ED"/>
    <w:rsid w:val="007142E5"/>
    <w:rsid w:val="00714D23"/>
    <w:rsid w:val="00721089"/>
    <w:rsid w:val="00735F99"/>
    <w:rsid w:val="0078163A"/>
    <w:rsid w:val="007844C4"/>
    <w:rsid w:val="00793BD6"/>
    <w:rsid w:val="00794584"/>
    <w:rsid w:val="007A1FA2"/>
    <w:rsid w:val="007A2DCD"/>
    <w:rsid w:val="007D2AC9"/>
    <w:rsid w:val="007E11C1"/>
    <w:rsid w:val="00806E2E"/>
    <w:rsid w:val="00820E1B"/>
    <w:rsid w:val="00832D90"/>
    <w:rsid w:val="00835CFE"/>
    <w:rsid w:val="0086583D"/>
    <w:rsid w:val="0087169C"/>
    <w:rsid w:val="00882E6E"/>
    <w:rsid w:val="00883281"/>
    <w:rsid w:val="008A202D"/>
    <w:rsid w:val="008C2A9A"/>
    <w:rsid w:val="008D4894"/>
    <w:rsid w:val="008D6DD6"/>
    <w:rsid w:val="008E1844"/>
    <w:rsid w:val="009126CD"/>
    <w:rsid w:val="0091714F"/>
    <w:rsid w:val="009752A7"/>
    <w:rsid w:val="0098368D"/>
    <w:rsid w:val="009A219F"/>
    <w:rsid w:val="009C185D"/>
    <w:rsid w:val="009C2CC0"/>
    <w:rsid w:val="009D3AE7"/>
    <w:rsid w:val="009D6EE0"/>
    <w:rsid w:val="009E21E2"/>
    <w:rsid w:val="009E509A"/>
    <w:rsid w:val="00A2081B"/>
    <w:rsid w:val="00A36AB5"/>
    <w:rsid w:val="00A40213"/>
    <w:rsid w:val="00A47AF5"/>
    <w:rsid w:val="00A51902"/>
    <w:rsid w:val="00A55C9A"/>
    <w:rsid w:val="00A56B79"/>
    <w:rsid w:val="00A801B1"/>
    <w:rsid w:val="00A93ECC"/>
    <w:rsid w:val="00AA69D0"/>
    <w:rsid w:val="00AB137A"/>
    <w:rsid w:val="00AD47EE"/>
    <w:rsid w:val="00AE786F"/>
    <w:rsid w:val="00AF5233"/>
    <w:rsid w:val="00B00C2B"/>
    <w:rsid w:val="00B056FD"/>
    <w:rsid w:val="00B12D0F"/>
    <w:rsid w:val="00B20006"/>
    <w:rsid w:val="00B36600"/>
    <w:rsid w:val="00B463F3"/>
    <w:rsid w:val="00B5429C"/>
    <w:rsid w:val="00B67426"/>
    <w:rsid w:val="00B67747"/>
    <w:rsid w:val="00B91F9D"/>
    <w:rsid w:val="00BD3A6D"/>
    <w:rsid w:val="00BD6935"/>
    <w:rsid w:val="00BF1870"/>
    <w:rsid w:val="00C1574F"/>
    <w:rsid w:val="00C37449"/>
    <w:rsid w:val="00C458B0"/>
    <w:rsid w:val="00C47CC5"/>
    <w:rsid w:val="00C811E8"/>
    <w:rsid w:val="00C82823"/>
    <w:rsid w:val="00CD05DA"/>
    <w:rsid w:val="00CD5E35"/>
    <w:rsid w:val="00CF03F0"/>
    <w:rsid w:val="00CF4697"/>
    <w:rsid w:val="00D04344"/>
    <w:rsid w:val="00D06317"/>
    <w:rsid w:val="00D22CF9"/>
    <w:rsid w:val="00D305C1"/>
    <w:rsid w:val="00D46CD2"/>
    <w:rsid w:val="00D62EB8"/>
    <w:rsid w:val="00D816FF"/>
    <w:rsid w:val="00D872AB"/>
    <w:rsid w:val="00DA3052"/>
    <w:rsid w:val="00DE5558"/>
    <w:rsid w:val="00DF4B6A"/>
    <w:rsid w:val="00E2788F"/>
    <w:rsid w:val="00E27B37"/>
    <w:rsid w:val="00E468AE"/>
    <w:rsid w:val="00E52F76"/>
    <w:rsid w:val="00E704CA"/>
    <w:rsid w:val="00E75770"/>
    <w:rsid w:val="00E75C0A"/>
    <w:rsid w:val="00E81FD1"/>
    <w:rsid w:val="00E979F7"/>
    <w:rsid w:val="00EB056C"/>
    <w:rsid w:val="00EC1290"/>
    <w:rsid w:val="00EC1F61"/>
    <w:rsid w:val="00F263B8"/>
    <w:rsid w:val="00F75507"/>
    <w:rsid w:val="00F903DE"/>
    <w:rsid w:val="00FA2E15"/>
    <w:rsid w:val="00FE1655"/>
    <w:rsid w:val="00FE5CA1"/>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autoRedefine/>
    <w:uiPriority w:val="7"/>
    <w:qFormat/>
    <w:rsid w:val="0018151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181517"/>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E5E99"/>
    <w:rsid w:val="002A38AC"/>
    <w:rsid w:val="0054736B"/>
    <w:rsid w:val="00725E3D"/>
    <w:rsid w:val="009D04E1"/>
    <w:rsid w:val="009F1B4B"/>
    <w:rsid w:val="00A20D2B"/>
    <w:rsid w:val="00BD06C3"/>
    <w:rsid w:val="00CF29A4"/>
    <w:rsid w:val="00DF7BFC"/>
    <w:rsid w:val="00E52B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9">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DCD861BC-992B-4C12-AEE6-BFBD045E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2024-06-25T21:18:00Z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