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116"/>
        <w:gridCol w:w="1134"/>
        <w:gridCol w:w="313"/>
        <w:gridCol w:w="284"/>
        <w:gridCol w:w="3372"/>
        <w:gridCol w:w="270"/>
        <w:gridCol w:w="270"/>
        <w:gridCol w:w="2502"/>
        <w:gridCol w:w="558"/>
      </w:tblGrid>
      <w:tr w:rsidR="006C30F5" w:rsidRPr="00F82E48" w14:paraId="1A1BA359" w14:textId="77777777" w:rsidTr="00633E17">
        <w:trPr>
          <w:trHeight w:val="454"/>
        </w:trPr>
        <w:tc>
          <w:tcPr>
            <w:tcW w:w="2097" w:type="dxa"/>
            <w:gridSpan w:val="2"/>
            <w:vAlign w:val="center"/>
          </w:tcPr>
          <w:p w14:paraId="01619DCE" w14:textId="69D39F73" w:rsidR="006C30F5" w:rsidRPr="00F82E48" w:rsidRDefault="00CE6F6F" w:rsidP="00F263B8">
            <w:pPr>
              <w:pStyle w:val="Info"/>
            </w:pPr>
            <w:r w:rsidRPr="00F82E48">
              <w:rPr>
                <w:noProof/>
              </w:rPr>
              <w:drawing>
                <wp:anchor distT="0" distB="0" distL="114300" distR="114300" simplePos="0" relativeHeight="251662848" behindDoc="1" locked="0" layoutInCell="1" allowOverlap="1" wp14:anchorId="7698F5FC" wp14:editId="78EFEF77">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8145" w:type="dxa"/>
            <w:gridSpan w:val="7"/>
            <w:shd w:val="clear" w:color="auto" w:fill="42BA97" w:themeFill="accent4"/>
          </w:tcPr>
          <w:p w14:paraId="55B7DB51" w14:textId="75A36DAB" w:rsidR="006C30F5" w:rsidRPr="00F82E48" w:rsidRDefault="00282446" w:rsidP="00F263B8">
            <w:pPr>
              <w:pStyle w:val="Heading2"/>
            </w:pPr>
            <w:r w:rsidRPr="00F82E48">
              <w:rPr>
                <w:color w:val="000000" w:themeColor="text1"/>
              </w:rPr>
              <w:t xml:space="preserve">Decimosegundo grado | Edición de invierno </w:t>
            </w:r>
          </w:p>
        </w:tc>
        <w:tc>
          <w:tcPr>
            <w:tcW w:w="558" w:type="dxa"/>
            <w:vAlign w:val="center"/>
          </w:tcPr>
          <w:p w14:paraId="09659BEE" w14:textId="2943D89A" w:rsidR="006C30F5" w:rsidRPr="00F82E48" w:rsidRDefault="006C30F5" w:rsidP="00F263B8"/>
        </w:tc>
      </w:tr>
      <w:tr w:rsidR="006C30F5" w:rsidRPr="00F82E48" w14:paraId="4359D7EA" w14:textId="77777777" w:rsidTr="00B056FD">
        <w:trPr>
          <w:trHeight w:val="288"/>
        </w:trPr>
        <w:tc>
          <w:tcPr>
            <w:tcW w:w="10800" w:type="dxa"/>
            <w:gridSpan w:val="10"/>
          </w:tcPr>
          <w:p w14:paraId="23F9DB2B" w14:textId="7552FA48" w:rsidR="006C30F5" w:rsidRPr="00F82E48" w:rsidRDefault="006C30F5" w:rsidP="00F263B8">
            <w:pPr>
              <w:rPr>
                <w:sz w:val="10"/>
                <w:szCs w:val="10"/>
              </w:rPr>
            </w:pPr>
          </w:p>
        </w:tc>
      </w:tr>
      <w:tr w:rsidR="00633E17" w:rsidRPr="00F82E48" w14:paraId="178CAC26" w14:textId="77777777" w:rsidTr="009E05D2">
        <w:trPr>
          <w:trHeight w:val="864"/>
        </w:trPr>
        <w:tc>
          <w:tcPr>
            <w:tcW w:w="981" w:type="dxa"/>
            <w:vAlign w:val="center"/>
          </w:tcPr>
          <w:p w14:paraId="407B2EE0" w14:textId="6BD99ED7" w:rsidR="00633E17" w:rsidRPr="00F82E48" w:rsidRDefault="00633E17" w:rsidP="00F263B8"/>
        </w:tc>
        <w:tc>
          <w:tcPr>
            <w:tcW w:w="9819" w:type="dxa"/>
            <w:gridSpan w:val="9"/>
            <w:vAlign w:val="center"/>
          </w:tcPr>
          <w:p w14:paraId="04B88A0E" w14:textId="77777777" w:rsidR="00633E17" w:rsidRPr="00F82E48" w:rsidRDefault="00633E17" w:rsidP="00633E17">
            <w:pPr>
              <w:pStyle w:val="Heading1"/>
              <w:ind w:left="563"/>
              <w:rPr>
                <w:sz w:val="48"/>
                <w:szCs w:val="20"/>
              </w:rPr>
            </w:pPr>
            <w:r w:rsidRPr="00F82E48">
              <w:rPr>
                <w:sz w:val="48"/>
                <w:szCs w:val="20"/>
              </w:rPr>
              <w:t>PLANTILLA DEL BOLETÍN INFORMATIVO</w:t>
            </w:r>
          </w:p>
          <w:p w14:paraId="6B2F7AF3" w14:textId="05DEDBDA" w:rsidR="00633E17" w:rsidRPr="00F82E48" w:rsidRDefault="00633E17" w:rsidP="00633E17">
            <w:pPr>
              <w:pStyle w:val="Heading2"/>
              <w:spacing w:before="0"/>
              <w:ind w:left="563"/>
            </w:pPr>
            <w:r w:rsidRPr="00F82E48">
              <w:t>High School &amp; Beyond Planning (</w:t>
            </w:r>
            <w:r w:rsidRPr="00F82E48">
              <w:rPr>
                <w:lang w:val="en-US"/>
              </w:rPr>
              <w:t>Planificación</w:t>
            </w:r>
            <w:r w:rsidRPr="00F82E48">
              <w:t xml:space="preserve"> para la Preparatoria </w:t>
            </w:r>
            <w:r w:rsidRPr="00F82E48">
              <w:br/>
              <w:t>y Más Allá): Noticias e información</w:t>
            </w:r>
          </w:p>
        </w:tc>
      </w:tr>
      <w:tr w:rsidR="006C30F5" w:rsidRPr="00F82E48" w14:paraId="3A5CC13C" w14:textId="77777777" w:rsidTr="00035894">
        <w:tc>
          <w:tcPr>
            <w:tcW w:w="10800" w:type="dxa"/>
            <w:gridSpan w:val="10"/>
            <w:tcBorders>
              <w:bottom w:val="single" w:sz="18" w:space="0" w:color="auto"/>
            </w:tcBorders>
          </w:tcPr>
          <w:p w14:paraId="3B36A4CB" w14:textId="77777777" w:rsidR="006C30F5" w:rsidRPr="00F82E48" w:rsidRDefault="006C30F5" w:rsidP="00F263B8">
            <w:pPr>
              <w:rPr>
                <w:sz w:val="16"/>
                <w:szCs w:val="16"/>
              </w:rPr>
            </w:pPr>
          </w:p>
        </w:tc>
      </w:tr>
      <w:tr w:rsidR="00CE6F6F" w:rsidRPr="00F82E48" w14:paraId="0CE963F1" w14:textId="77777777" w:rsidTr="00035894">
        <w:tc>
          <w:tcPr>
            <w:tcW w:w="10800" w:type="dxa"/>
            <w:gridSpan w:val="10"/>
            <w:tcBorders>
              <w:top w:val="single" w:sz="18" w:space="0" w:color="auto"/>
            </w:tcBorders>
            <w:vAlign w:val="center"/>
          </w:tcPr>
          <w:p w14:paraId="3E4C3711" w14:textId="4B3A8E12" w:rsidR="00221E59" w:rsidRPr="00F82E48" w:rsidRDefault="00221E59" w:rsidP="00F263B8">
            <w:pPr>
              <w:pStyle w:val="Info"/>
              <w:jc w:val="right"/>
              <w:rPr>
                <w:i/>
                <w:iCs/>
                <w:color w:val="C00000"/>
                <w:sz w:val="18"/>
                <w:lang w:val="en-US"/>
              </w:rPr>
            </w:pPr>
            <w:r w:rsidRPr="00F82E48">
              <w:rPr>
                <w:i/>
                <w:iCs/>
                <w:color w:val="C00000"/>
                <w:sz w:val="18"/>
                <w:lang w:val="en-US"/>
              </w:rPr>
              <w:t>Replace with School Contact Info</w:t>
            </w:r>
          </w:p>
        </w:tc>
      </w:tr>
      <w:tr w:rsidR="00CE6F6F" w:rsidRPr="00F82E48" w14:paraId="51EF200A" w14:textId="77777777" w:rsidTr="00035894">
        <w:trPr>
          <w:trHeight w:val="144"/>
        </w:trPr>
        <w:tc>
          <w:tcPr>
            <w:tcW w:w="10800" w:type="dxa"/>
            <w:gridSpan w:val="10"/>
          </w:tcPr>
          <w:p w14:paraId="58125260" w14:textId="77777777" w:rsidR="004B1CE7" w:rsidRPr="00F82E48" w:rsidRDefault="004B1CE7" w:rsidP="00F263B8">
            <w:pPr>
              <w:rPr>
                <w:color w:val="C00000"/>
                <w:sz w:val="16"/>
                <w:szCs w:val="16"/>
                <w:lang w:val="en-US"/>
              </w:rPr>
            </w:pPr>
          </w:p>
        </w:tc>
      </w:tr>
      <w:tr w:rsidR="00D46CD2" w:rsidRPr="00F82E48" w14:paraId="55E2CE09" w14:textId="77777777" w:rsidTr="00035894">
        <w:trPr>
          <w:trHeight w:val="5353"/>
        </w:trPr>
        <w:tc>
          <w:tcPr>
            <w:tcW w:w="3231" w:type="dxa"/>
            <w:gridSpan w:val="3"/>
            <w:vMerge w:val="restart"/>
          </w:tcPr>
          <w:p w14:paraId="3C7D97D1" w14:textId="28CB32A9" w:rsidR="00B27754" w:rsidRPr="00F82E48" w:rsidRDefault="005B4212" w:rsidP="006F51A2">
            <w:pPr>
              <w:pStyle w:val="TextBody"/>
              <w:spacing w:after="0"/>
              <w:rPr>
                <w:rFonts w:ascii="Tw Cen MT" w:hAnsi="Tw Cen MT"/>
                <w:b/>
                <w:bCs/>
                <w:color w:val="0D5672" w:themeColor="accent1"/>
                <w:sz w:val="32"/>
              </w:rPr>
            </w:pPr>
            <w:r w:rsidRPr="00F82E48">
              <w:rPr>
                <w:rFonts w:ascii="Tw Cen MT" w:hAnsi="Tw Cen MT"/>
                <w:b/>
                <w:color w:val="0D5672" w:themeColor="accent1"/>
                <w:sz w:val="32"/>
              </w:rPr>
              <w:t>RECURSOS Y SERVICIOS DE APOYO EN LA UNIVERSIDAD</w:t>
            </w:r>
          </w:p>
          <w:p w14:paraId="52423F5D" w14:textId="77777777" w:rsidR="009B6996" w:rsidRPr="00F82E48" w:rsidRDefault="009B6996" w:rsidP="009B6996">
            <w:pPr>
              <w:pStyle w:val="TextBody"/>
            </w:pPr>
            <w:r w:rsidRPr="00F82E48">
              <w:t>Hay muchos recursos para ayudar a los estudiantes a hacer la transición a la universidad y obtener apoyo personal, de salud, financiero y académico. En numerosas familias, es posible que este hijo sea el primero en ir a la universidad. Las universidades saben que estos estudiantes, a veces denominados de primera generación, pueden necesitar más apoyo y tienen programas diseñados solo para ellos.</w:t>
            </w:r>
          </w:p>
          <w:p w14:paraId="3C9107E7" w14:textId="7DB95E42" w:rsidR="00D46CD2" w:rsidRPr="00F82E48" w:rsidRDefault="009B6996" w:rsidP="009B6996">
            <w:pPr>
              <w:pStyle w:val="TextBody"/>
            </w:pPr>
            <w:r w:rsidRPr="00F82E48">
              <w:t xml:space="preserve">Un programa se llama </w:t>
            </w:r>
            <w:r w:rsidRPr="00F82E48">
              <w:rPr>
                <w:b/>
                <w:bCs/>
              </w:rPr>
              <w:t>TRiO Student Support Services o TRiO SSS</w:t>
            </w:r>
            <w:r w:rsidRPr="00F82E48">
              <w:t xml:space="preserve"> (Servicios de Apoyo Estudiantil TRiO). En el estado de Washington, 26</w:t>
            </w:r>
            <w:r w:rsidR="00631083">
              <w:t> </w:t>
            </w:r>
            <w:r w:rsidRPr="00F82E48">
              <w:t>instituciones ofrecen TRiO, tanto en los colegios comunitarios como en las universidades de cuatro años, para ayudar a los estudiantes con bajos ingresos, de primera generación o con discapacidad. TRiO SSS garantiza que los estudiantes tengan el apoyo social y emocional que necesitan para terminar la universidad. También brinda tutoría, enseña habilidades de estudio y ofrece asesoramiento académico. Los estudiantes también reciben ayuda para orientarse en el sistema universitario, por ejemplo, cómo registrarse en las clases, acceder a la ayuda financiera y conseguir alojamiento. Además, pueden participar en diversos eventos sociales y culturales diseñados para ayudarles a crear una red social de apoyo en el campus.</w:t>
            </w:r>
          </w:p>
        </w:tc>
        <w:tc>
          <w:tcPr>
            <w:tcW w:w="313" w:type="dxa"/>
            <w:vMerge w:val="restart"/>
            <w:tcBorders>
              <w:right w:val="single" w:sz="18" w:space="0" w:color="auto"/>
            </w:tcBorders>
          </w:tcPr>
          <w:p w14:paraId="22E8ECCE" w14:textId="20EADE00" w:rsidR="00D46CD2" w:rsidRPr="00F82E48" w:rsidRDefault="00D46CD2" w:rsidP="00F263B8"/>
        </w:tc>
        <w:tc>
          <w:tcPr>
            <w:tcW w:w="284" w:type="dxa"/>
            <w:vMerge w:val="restart"/>
            <w:tcBorders>
              <w:left w:val="single" w:sz="18" w:space="0" w:color="auto"/>
            </w:tcBorders>
          </w:tcPr>
          <w:p w14:paraId="5CD1640A" w14:textId="77777777" w:rsidR="00D46CD2" w:rsidRPr="00F82E48" w:rsidRDefault="00D46CD2" w:rsidP="00F263B8"/>
        </w:tc>
        <w:tc>
          <w:tcPr>
            <w:tcW w:w="3372" w:type="dxa"/>
            <w:tcBorders>
              <w:bottom w:val="single" w:sz="18" w:space="0" w:color="auto"/>
            </w:tcBorders>
          </w:tcPr>
          <w:p w14:paraId="7A2877A9" w14:textId="6A849B1F" w:rsidR="006631A8" w:rsidRPr="00F82E48" w:rsidRDefault="006631A8" w:rsidP="006631A8">
            <w:pPr>
              <w:pStyle w:val="TextBody"/>
            </w:pPr>
            <w:r w:rsidRPr="00F82E48">
              <w:t>Otro gran programa es el CAMP o College Assistance Migrant Program. Ayuda a los estudiantes que son inmigrantes o trabajadores agrícolas temporales (o a los hijos de estos trabajadores) durante su primer año en la universidad. Pueden obtener de forma gratuita asesoramiento, tutoría, talleres de habilidades, estipendios de ayuda financiera, servicios de salud y asistencia de vivienda.</w:t>
            </w:r>
          </w:p>
          <w:p w14:paraId="67F7BF3A" w14:textId="4B61F5F3" w:rsidR="00263BF4" w:rsidRPr="00F82E48" w:rsidRDefault="006631A8" w:rsidP="006631A8">
            <w:pPr>
              <w:pStyle w:val="TextBody"/>
            </w:pPr>
            <w:r w:rsidRPr="00F82E48">
              <w:t xml:space="preserve">Las </w:t>
            </w:r>
            <w:r w:rsidRPr="00F82E48">
              <w:rPr>
                <w:b/>
              </w:rPr>
              <w:t>oficinas de servicios para personas con discapacidad</w:t>
            </w:r>
            <w:r w:rsidRPr="00F82E48">
              <w:t xml:space="preserve"> </w:t>
            </w:r>
            <w:r w:rsidR="00631083">
              <w:br/>
            </w:r>
            <w:r w:rsidRPr="00F82E48">
              <w:t xml:space="preserve">(Disability Service Offices) de los campus garantizan la igualdad de acceso a los programas y servicios educativos al ofrecer consultas para realizar adaptaciones (exámenes de colocación, salón de clases, tecnología de asistencia y más) para estudiantes con discapacidades que, de otra manera, reunirían los requisitos para acceder a la universidad. </w:t>
            </w:r>
          </w:p>
        </w:tc>
        <w:tc>
          <w:tcPr>
            <w:tcW w:w="3600" w:type="dxa"/>
            <w:gridSpan w:val="4"/>
          </w:tcPr>
          <w:p w14:paraId="1A5556BD" w14:textId="33EE1C67" w:rsidR="006631A8" w:rsidRPr="00F82E48" w:rsidRDefault="006631A8" w:rsidP="006631A8">
            <w:pPr>
              <w:pStyle w:val="TextBody"/>
            </w:pPr>
            <w:r w:rsidRPr="00F82E48">
              <w:t xml:space="preserve">Muchas escuelas ofrecen un programa gratuito y abierto llamado First Year Experience, que puede ayudar a los estudiantes a hacer la transición a la universidad a lo largo de su primer año. </w:t>
            </w:r>
          </w:p>
          <w:p w14:paraId="67DA3EB2" w14:textId="54578DBF" w:rsidR="006631A8" w:rsidRPr="00F82E48" w:rsidRDefault="006631A8" w:rsidP="006631A8">
            <w:pPr>
              <w:pStyle w:val="TextBody"/>
            </w:pPr>
            <w:r w:rsidRPr="00F82E48">
              <w:t xml:space="preserve">También hay </w:t>
            </w:r>
            <w:r w:rsidRPr="00F82E48">
              <w:rPr>
                <w:b/>
              </w:rPr>
              <w:t>centros gratuitos de tutoría</w:t>
            </w:r>
            <w:r w:rsidRPr="00F82E48">
              <w:t xml:space="preserve"> y </w:t>
            </w:r>
            <w:r w:rsidRPr="00F82E48">
              <w:rPr>
                <w:b/>
              </w:rPr>
              <w:t>escritura</w:t>
            </w:r>
            <w:r w:rsidRPr="00F82E48">
              <w:t xml:space="preserve">, y </w:t>
            </w:r>
            <w:r w:rsidRPr="00F82E48">
              <w:rPr>
                <w:b/>
              </w:rPr>
              <w:t>orientación profesional y académica</w:t>
            </w:r>
            <w:r w:rsidRPr="00F82E48">
              <w:t xml:space="preserve"> para los estudiantes de todas las universidades. Con frecuencia, las universidades tienen un </w:t>
            </w:r>
            <w:r w:rsidRPr="00F82E48">
              <w:rPr>
                <w:b/>
              </w:rPr>
              <w:t>consejero de salud mental y un centro de salud</w:t>
            </w:r>
            <w:r w:rsidRPr="00F82E48">
              <w:t xml:space="preserve"> en el campus. Averigua qué apoyos están disponibles en el sitio web de tu universidad. Algunos programas pueden requerir una solicitud.</w:t>
            </w:r>
          </w:p>
          <w:p w14:paraId="6A8044F8" w14:textId="5F7AE0F5" w:rsidR="00AF5233" w:rsidRPr="00F82E48" w:rsidRDefault="00AF5233" w:rsidP="006631A8">
            <w:pPr>
              <w:pStyle w:val="TextBody"/>
            </w:pPr>
          </w:p>
        </w:tc>
      </w:tr>
      <w:tr w:rsidR="006C30F5" w:rsidRPr="00F82E48" w14:paraId="0727042E" w14:textId="77777777" w:rsidTr="00035894">
        <w:trPr>
          <w:trHeight w:val="432"/>
        </w:trPr>
        <w:tc>
          <w:tcPr>
            <w:tcW w:w="3231" w:type="dxa"/>
            <w:gridSpan w:val="3"/>
            <w:vMerge/>
          </w:tcPr>
          <w:p w14:paraId="4BE4CE13" w14:textId="77777777" w:rsidR="006C30F5" w:rsidRPr="00F82E48" w:rsidRDefault="006C30F5" w:rsidP="00F263B8"/>
        </w:tc>
        <w:tc>
          <w:tcPr>
            <w:tcW w:w="313" w:type="dxa"/>
            <w:vMerge/>
            <w:tcBorders>
              <w:right w:val="single" w:sz="18" w:space="0" w:color="auto"/>
            </w:tcBorders>
          </w:tcPr>
          <w:p w14:paraId="23C2818D" w14:textId="77777777" w:rsidR="006C30F5" w:rsidRPr="00F82E48" w:rsidRDefault="006C30F5" w:rsidP="00F263B8"/>
        </w:tc>
        <w:tc>
          <w:tcPr>
            <w:tcW w:w="284" w:type="dxa"/>
            <w:vMerge/>
            <w:tcBorders>
              <w:left w:val="single" w:sz="18" w:space="0" w:color="auto"/>
            </w:tcBorders>
          </w:tcPr>
          <w:p w14:paraId="77F0BF1C" w14:textId="77777777" w:rsidR="006C30F5" w:rsidRPr="00F82E48" w:rsidRDefault="006C30F5" w:rsidP="00F263B8"/>
        </w:tc>
        <w:tc>
          <w:tcPr>
            <w:tcW w:w="3372" w:type="dxa"/>
            <w:tcBorders>
              <w:top w:val="single" w:sz="18" w:space="0" w:color="auto"/>
            </w:tcBorders>
          </w:tcPr>
          <w:p w14:paraId="69E07A8C" w14:textId="77777777" w:rsidR="006C30F5" w:rsidRPr="00F82E48" w:rsidRDefault="006C30F5" w:rsidP="00F263B8"/>
        </w:tc>
        <w:tc>
          <w:tcPr>
            <w:tcW w:w="270" w:type="dxa"/>
            <w:tcBorders>
              <w:top w:val="single" w:sz="18" w:space="0" w:color="auto"/>
            </w:tcBorders>
          </w:tcPr>
          <w:p w14:paraId="63CA43EB" w14:textId="77777777" w:rsidR="006C30F5" w:rsidRPr="00F82E48" w:rsidRDefault="006C30F5" w:rsidP="00F263B8"/>
        </w:tc>
        <w:tc>
          <w:tcPr>
            <w:tcW w:w="270" w:type="dxa"/>
            <w:tcBorders>
              <w:top w:val="single" w:sz="18" w:space="0" w:color="auto"/>
            </w:tcBorders>
          </w:tcPr>
          <w:p w14:paraId="619C8043" w14:textId="77777777" w:rsidR="006C30F5" w:rsidRPr="00F82E48" w:rsidRDefault="006C30F5" w:rsidP="00F263B8"/>
        </w:tc>
        <w:tc>
          <w:tcPr>
            <w:tcW w:w="3060" w:type="dxa"/>
            <w:gridSpan w:val="2"/>
            <w:tcBorders>
              <w:top w:val="single" w:sz="18" w:space="0" w:color="auto"/>
            </w:tcBorders>
          </w:tcPr>
          <w:p w14:paraId="4BF167C6" w14:textId="77777777" w:rsidR="006C30F5" w:rsidRPr="00F82E48" w:rsidRDefault="006C30F5" w:rsidP="00F263B8"/>
        </w:tc>
      </w:tr>
      <w:tr w:rsidR="006C30F5" w:rsidRPr="00F82E48" w14:paraId="7B5B841B" w14:textId="77777777" w:rsidTr="00035894">
        <w:trPr>
          <w:trHeight w:val="4320"/>
        </w:trPr>
        <w:tc>
          <w:tcPr>
            <w:tcW w:w="3231" w:type="dxa"/>
            <w:gridSpan w:val="3"/>
            <w:vMerge/>
          </w:tcPr>
          <w:p w14:paraId="5144FECC" w14:textId="77777777" w:rsidR="006C30F5" w:rsidRPr="00F82E48" w:rsidRDefault="006C30F5" w:rsidP="00F263B8"/>
        </w:tc>
        <w:tc>
          <w:tcPr>
            <w:tcW w:w="313" w:type="dxa"/>
            <w:vMerge/>
            <w:tcBorders>
              <w:right w:val="single" w:sz="18" w:space="0" w:color="auto"/>
            </w:tcBorders>
          </w:tcPr>
          <w:p w14:paraId="5EEFACED" w14:textId="77777777" w:rsidR="006C30F5" w:rsidRPr="00F82E48" w:rsidRDefault="006C30F5" w:rsidP="00F263B8"/>
        </w:tc>
        <w:tc>
          <w:tcPr>
            <w:tcW w:w="284" w:type="dxa"/>
            <w:vMerge/>
            <w:tcBorders>
              <w:left w:val="single" w:sz="18" w:space="0" w:color="auto"/>
            </w:tcBorders>
          </w:tcPr>
          <w:p w14:paraId="2BC9F19E" w14:textId="77777777" w:rsidR="006C30F5" w:rsidRPr="00F82E48" w:rsidRDefault="006C30F5" w:rsidP="00F263B8"/>
        </w:tc>
        <w:tc>
          <w:tcPr>
            <w:tcW w:w="3372" w:type="dxa"/>
          </w:tcPr>
          <w:p w14:paraId="05DBA5EC" w14:textId="53B27488" w:rsidR="006C30F5" w:rsidRPr="00F82E48" w:rsidRDefault="001B4AAE" w:rsidP="00FE1655">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F7225C" w:rsidRPr="00F82E48">
                  <w:rPr>
                    <w:rStyle w:val="TitlenormalChar"/>
                  </w:rPr>
                  <w:t>PRÓXIMOS EVENTOS</w:t>
                </w:r>
              </w:sdtContent>
            </w:sdt>
          </w:p>
          <w:p w14:paraId="347FA6EA" w14:textId="2D3E5DAA" w:rsidR="006C30F5" w:rsidRPr="00F82E48" w:rsidRDefault="006C30F5" w:rsidP="00FE1655"/>
          <w:p w14:paraId="340D22C2" w14:textId="09364564" w:rsidR="00FF5E20" w:rsidRPr="00F82E48" w:rsidRDefault="001B4AAE" w:rsidP="00FE1655">
            <w:pPr>
              <w:pStyle w:val="ListParagraph"/>
              <w:numPr>
                <w:ilvl w:val="0"/>
                <w:numId w:val="3"/>
              </w:numPr>
              <w:rPr>
                <w:i/>
                <w:iCs/>
                <w:color w:val="A6A6A6" w:themeColor="background1" w:themeShade="A6"/>
              </w:rPr>
            </w:pPr>
            <w:sdt>
              <w:sdtPr>
                <w:rPr>
                  <w:i/>
                  <w:iCs/>
                  <w:color w:val="C00000"/>
                </w:rPr>
                <w:id w:val="-1628150936"/>
                <w:placeholder>
                  <w:docPart w:val="EA7A00A92EF74F2593D77E1A133A11C4"/>
                </w:placeholder>
              </w:sdtPr>
              <w:sdtEndPr/>
              <w:sdtContent>
                <w:sdt>
                  <w:sdtPr>
                    <w:rPr>
                      <w:i/>
                      <w:iCs/>
                      <w:color w:val="C00000"/>
                    </w:rPr>
                    <w:id w:val="-1441836109"/>
                    <w:placeholder>
                      <w:docPart w:val="2DCAB4B9D01E4BC995A861E0057886C6"/>
                    </w:placeholder>
                  </w:sdtPr>
                  <w:sdtEndPr/>
                  <w:sdtContent>
                    <w:sdt>
                      <w:sdtPr>
                        <w:rPr>
                          <w:i/>
                          <w:iCs/>
                          <w:color w:val="C00000"/>
                        </w:rPr>
                        <w:id w:val="2022893207"/>
                        <w:placeholder>
                          <w:docPart w:val="B2EBD7BA2B1E4A0E8B32016484770F92"/>
                        </w:placeholder>
                        <w:showingPlcHdr/>
                      </w:sdtPr>
                      <w:sdtEndPr/>
                      <w:sdtContent>
                        <w:r w:rsidR="00F7225C" w:rsidRPr="00F82E48">
                          <w:rPr>
                            <w:rStyle w:val="PlaceholderText"/>
                            <w:i/>
                            <w:iCs/>
                            <w:color w:val="C00000"/>
                          </w:rPr>
                          <w:t>Haga clic aquí para ingresar texto.</w:t>
                        </w:r>
                      </w:sdtContent>
                    </w:sdt>
                  </w:sdtContent>
                </w:sdt>
              </w:sdtContent>
            </w:sdt>
          </w:p>
          <w:p w14:paraId="7D46F4FD" w14:textId="184DB987" w:rsidR="006C30F5" w:rsidRPr="00F82E48" w:rsidRDefault="006C30F5" w:rsidP="00FE1655">
            <w:pPr>
              <w:ind w:left="360"/>
            </w:pPr>
          </w:p>
        </w:tc>
        <w:tc>
          <w:tcPr>
            <w:tcW w:w="270" w:type="dxa"/>
            <w:tcBorders>
              <w:right w:val="single" w:sz="18" w:space="0" w:color="auto"/>
            </w:tcBorders>
          </w:tcPr>
          <w:p w14:paraId="562E0CFE" w14:textId="77777777" w:rsidR="006C30F5" w:rsidRPr="00F82E48" w:rsidRDefault="006C30F5" w:rsidP="00F263B8"/>
        </w:tc>
        <w:tc>
          <w:tcPr>
            <w:tcW w:w="270" w:type="dxa"/>
            <w:tcBorders>
              <w:left w:val="single" w:sz="18" w:space="0" w:color="auto"/>
            </w:tcBorders>
          </w:tcPr>
          <w:p w14:paraId="26318FC3" w14:textId="380941CC" w:rsidR="006C30F5" w:rsidRPr="00F82E48" w:rsidRDefault="006C30F5" w:rsidP="00F263B8"/>
        </w:tc>
        <w:tc>
          <w:tcPr>
            <w:tcW w:w="3060" w:type="dxa"/>
            <w:gridSpan w:val="2"/>
          </w:tcPr>
          <w:p w14:paraId="04A458B9" w14:textId="7D1D2895" w:rsidR="0013534A" w:rsidRPr="00F82E48" w:rsidRDefault="0013534A" w:rsidP="0013534A">
            <w:pPr>
              <w:jc w:val="center"/>
              <w:rPr>
                <w:rStyle w:val="TitlenormalChar"/>
              </w:rPr>
            </w:pPr>
            <w:r w:rsidRPr="00F82E48">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F82E48" w:rsidRDefault="00B20006" w:rsidP="004A3247">
            <w:r w:rsidRPr="00F82E48">
              <w:rPr>
                <w:rStyle w:val="TitlenormalChar"/>
              </w:rPr>
              <w:t>¿SABÍAS QUÉ?</w:t>
            </w:r>
          </w:p>
          <w:p w14:paraId="5664FD70" w14:textId="734959DC" w:rsidR="00CD5E35" w:rsidRPr="00F82E48" w:rsidRDefault="00A75BDB" w:rsidP="00A75BDB">
            <w:r w:rsidRPr="00F82E48">
              <w:t>¿Sabías que los estudiantes de preparatoria pueden obtener créditos por un idioma distinto del inglés que ya conocen? Pregunta a tu consejero sobre el World Language Credit Program.</w:t>
            </w:r>
          </w:p>
        </w:tc>
      </w:tr>
    </w:tbl>
    <w:p w14:paraId="1BDD458E" w14:textId="66D0DCB0" w:rsidR="003C7B1E" w:rsidRPr="00F82E48" w:rsidRDefault="003C7B1E"/>
    <w:p w14:paraId="75AF312A" w14:textId="77777777" w:rsidR="003C7B1E" w:rsidRPr="00F82E48" w:rsidRDefault="003C7B1E">
      <w:r w:rsidRPr="00F82E48">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F82E48" w14:paraId="6F1EC783" w14:textId="77777777" w:rsidTr="00035894">
        <w:trPr>
          <w:trHeight w:val="454"/>
        </w:trPr>
        <w:tc>
          <w:tcPr>
            <w:tcW w:w="10790" w:type="dxa"/>
            <w:gridSpan w:val="6"/>
            <w:tcBorders>
              <w:bottom w:val="single" w:sz="18" w:space="0" w:color="auto"/>
            </w:tcBorders>
          </w:tcPr>
          <w:p w14:paraId="0C643917" w14:textId="46FE2561" w:rsidR="00221E59" w:rsidRPr="00F82E48" w:rsidRDefault="001B4AAE" w:rsidP="00221E59">
            <w:pPr>
              <w:rPr>
                <w:rStyle w:val="Heading2Char"/>
                <w:lang w:val="en-US"/>
              </w:rPr>
            </w:pPr>
            <w:r w:rsidRPr="00F82E48">
              <w:rPr>
                <w:rStyle w:val="Heading3Char"/>
              </w:rPr>
              <w:lastRenderedPageBreak/>
              <w:pict w14:anchorId="4556E48E">
                <v:group id="Group 1383" o:spid="_x0000_s1026" alt="&quot;&quot;" style="position:absolute;margin-left:-33.75pt;margin-top:-30pt;width:612pt;height:11in;z-index:-25165158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F82E48">
              <w:rPr>
                <w:rStyle w:val="Heading3Char"/>
                <w:lang w:val="en-US"/>
              </w:rPr>
              <w:t>High School &amp; Beyond Planning</w:t>
            </w:r>
            <w:r w:rsidR="00221E59" w:rsidRPr="00F82E48">
              <w:rPr>
                <w:rStyle w:val="Heading2Char"/>
                <w:lang w:val="en-US"/>
              </w:rPr>
              <w:t xml:space="preserve"> </w:t>
            </w:r>
          </w:p>
          <w:p w14:paraId="4CEE5AD0" w14:textId="5D238EA8" w:rsidR="00221E59" w:rsidRPr="00F82E48" w:rsidRDefault="001C5DB1" w:rsidP="00221E59">
            <w:pPr>
              <w:rPr>
                <w:lang w:val="en-US"/>
              </w:rPr>
            </w:pPr>
            <w:r w:rsidRPr="00F82E48">
              <w:rPr>
                <w:rStyle w:val="Heading2Char"/>
                <w:color w:val="000000" w:themeColor="text1"/>
                <w:lang w:val="en-US"/>
              </w:rPr>
              <w:t>Invierno | Edición de otoño | gearup.wa.gov</w:t>
            </w:r>
          </w:p>
        </w:tc>
      </w:tr>
      <w:tr w:rsidR="003924B1" w:rsidRPr="00F82E48" w14:paraId="68BDF0EE" w14:textId="77777777" w:rsidTr="00CE6F6F">
        <w:trPr>
          <w:trHeight w:val="331"/>
        </w:trPr>
        <w:tc>
          <w:tcPr>
            <w:tcW w:w="10790" w:type="dxa"/>
            <w:gridSpan w:val="6"/>
            <w:tcBorders>
              <w:top w:val="single" w:sz="18" w:space="0" w:color="auto"/>
            </w:tcBorders>
          </w:tcPr>
          <w:p w14:paraId="0267F210" w14:textId="77777777" w:rsidR="003924B1" w:rsidRPr="00F82E48" w:rsidRDefault="003924B1" w:rsidP="00BA1778">
            <w:pPr>
              <w:rPr>
                <w:sz w:val="14"/>
                <w:szCs w:val="14"/>
                <w:lang w:val="en-US"/>
              </w:rPr>
            </w:pPr>
          </w:p>
        </w:tc>
      </w:tr>
      <w:tr w:rsidR="00F20830" w:rsidRPr="00F82E48" w14:paraId="41244D99" w14:textId="77777777" w:rsidTr="00035894">
        <w:trPr>
          <w:trHeight w:val="735"/>
        </w:trPr>
        <w:tc>
          <w:tcPr>
            <w:tcW w:w="3678" w:type="dxa"/>
          </w:tcPr>
          <w:p w14:paraId="346B1E21" w14:textId="08253B61" w:rsidR="00F20830" w:rsidRPr="00F82E48" w:rsidRDefault="007A01D5" w:rsidP="00CE6F6F">
            <w:pPr>
              <w:rPr>
                <w:b/>
                <w:bCs/>
                <w:i/>
                <w:iCs/>
                <w:color w:val="C00000"/>
              </w:rPr>
            </w:pPr>
            <w:r w:rsidRPr="00F82E48">
              <w:rPr>
                <w:b/>
                <w:bCs/>
                <w:i/>
                <w:iCs/>
                <w:color w:val="C00000"/>
              </w:rPr>
              <w:t xml:space="preserve">Insert Financial Aid Completion </w:t>
            </w:r>
            <w:r w:rsidR="00631083">
              <w:rPr>
                <w:b/>
                <w:bCs/>
                <w:i/>
                <w:iCs/>
                <w:color w:val="C00000"/>
              </w:rPr>
              <w:br/>
            </w:r>
            <w:r w:rsidRPr="00F82E48">
              <w:rPr>
                <w:b/>
                <w:bCs/>
                <w:i/>
                <w:iCs/>
                <w:color w:val="C00000"/>
              </w:rPr>
              <w:t>Event Information</w:t>
            </w:r>
          </w:p>
        </w:tc>
        <w:tc>
          <w:tcPr>
            <w:tcW w:w="277" w:type="dxa"/>
            <w:vMerge w:val="restart"/>
          </w:tcPr>
          <w:p w14:paraId="3295F43E" w14:textId="220694F4" w:rsidR="00F20830" w:rsidRPr="00F82E48" w:rsidRDefault="00F20830" w:rsidP="00CE6F6F">
            <w:pPr>
              <w:rPr>
                <w:b/>
                <w:bCs/>
                <w:i/>
                <w:iCs/>
                <w:color w:val="C00000"/>
              </w:rPr>
            </w:pPr>
          </w:p>
        </w:tc>
        <w:tc>
          <w:tcPr>
            <w:tcW w:w="6835" w:type="dxa"/>
            <w:gridSpan w:val="4"/>
            <w:vMerge w:val="restart"/>
          </w:tcPr>
          <w:p w14:paraId="622F06CA" w14:textId="11A51A12" w:rsidR="00F20830" w:rsidRPr="00F82E48" w:rsidRDefault="007A01D5" w:rsidP="00CE6F6F">
            <w:pPr>
              <w:rPr>
                <w:b/>
                <w:bCs/>
                <w:i/>
                <w:iCs/>
                <w:color w:val="C00000"/>
              </w:rPr>
            </w:pPr>
            <w:r w:rsidRPr="00F82E48">
              <w:rPr>
                <w:b/>
                <w:bCs/>
                <w:i/>
                <w:iCs/>
                <w:color w:val="C00000"/>
              </w:rPr>
              <w:t>Insert Financial Aid Completion Event Information</w:t>
            </w:r>
          </w:p>
        </w:tc>
      </w:tr>
      <w:tr w:rsidR="00F20830" w:rsidRPr="00F82E48" w14:paraId="7CB159C4" w14:textId="77777777" w:rsidTr="00F20830">
        <w:trPr>
          <w:trHeight w:val="2041"/>
        </w:trPr>
        <w:tc>
          <w:tcPr>
            <w:tcW w:w="3678" w:type="dxa"/>
            <w:tcBorders>
              <w:bottom w:val="single" w:sz="18" w:space="0" w:color="auto"/>
            </w:tcBorders>
          </w:tcPr>
          <w:p w14:paraId="7CEC2781" w14:textId="5D4C70D3" w:rsidR="00F20830" w:rsidRPr="00F82E48" w:rsidRDefault="00F20830" w:rsidP="00F20830">
            <w:pPr>
              <w:pStyle w:val="TextBody"/>
            </w:pPr>
          </w:p>
        </w:tc>
        <w:tc>
          <w:tcPr>
            <w:tcW w:w="277" w:type="dxa"/>
            <w:vMerge/>
            <w:tcBorders>
              <w:bottom w:val="single" w:sz="18" w:space="0" w:color="auto"/>
            </w:tcBorders>
          </w:tcPr>
          <w:p w14:paraId="0AB48CA8" w14:textId="77777777" w:rsidR="00F20830" w:rsidRPr="00F82E48" w:rsidRDefault="00F20830" w:rsidP="00F20830"/>
        </w:tc>
        <w:tc>
          <w:tcPr>
            <w:tcW w:w="6835" w:type="dxa"/>
            <w:gridSpan w:val="4"/>
            <w:vMerge/>
            <w:tcBorders>
              <w:bottom w:val="single" w:sz="18" w:space="0" w:color="auto"/>
            </w:tcBorders>
          </w:tcPr>
          <w:p w14:paraId="021F0FE4" w14:textId="77777777" w:rsidR="00F20830" w:rsidRPr="00F82E48" w:rsidRDefault="00F20830" w:rsidP="00F20830">
            <w:pPr>
              <w:pStyle w:val="TextBody"/>
            </w:pPr>
          </w:p>
        </w:tc>
      </w:tr>
      <w:tr w:rsidR="00F20830" w:rsidRPr="00F82E48" w14:paraId="6FE7AA31" w14:textId="77777777" w:rsidTr="007A01D5">
        <w:trPr>
          <w:trHeight w:val="2149"/>
        </w:trPr>
        <w:tc>
          <w:tcPr>
            <w:tcW w:w="7283" w:type="dxa"/>
            <w:gridSpan w:val="3"/>
          </w:tcPr>
          <w:p w14:paraId="6EA54A0F" w14:textId="168187E1" w:rsidR="00F20830" w:rsidRPr="00F82E48" w:rsidRDefault="00F20830" w:rsidP="00F20830">
            <w:pPr>
              <w:pStyle w:val="Titlenormal"/>
            </w:pPr>
            <w:r w:rsidRPr="00F82E48">
              <w:t>LISTA DE VERIFICACIÓN PARA EL ESTUDIANTE</w:t>
            </w:r>
          </w:p>
          <w:p w14:paraId="5CA0621E" w14:textId="77777777" w:rsidR="006059A9" w:rsidRPr="00F82E48" w:rsidRDefault="006059A9" w:rsidP="006059A9">
            <w:pPr>
              <w:pStyle w:val="TextBody"/>
              <w:numPr>
                <w:ilvl w:val="0"/>
                <w:numId w:val="25"/>
              </w:numPr>
              <w:spacing w:after="0"/>
            </w:pPr>
            <w:bookmarkStart w:id="0" w:name="_Hlk171494716"/>
            <w:r w:rsidRPr="00F82E48">
              <w:t>Programa las entrevistas necesarias.</w:t>
            </w:r>
          </w:p>
          <w:p w14:paraId="19CD1360" w14:textId="63F1E52E" w:rsidR="00F20830" w:rsidRPr="00F82E48" w:rsidRDefault="006059A9" w:rsidP="006059A9">
            <w:pPr>
              <w:pStyle w:val="TextBody"/>
              <w:numPr>
                <w:ilvl w:val="0"/>
                <w:numId w:val="25"/>
              </w:numPr>
              <w:spacing w:after="0"/>
            </w:pPr>
            <w:r w:rsidRPr="00F82E48">
              <w:t>Completa las solicitudes de admisión de las universidades y las de ayuda financiera. Si planeas asistir a un colegio comunitario o una escuela técnica, no esperes hasta el último minuto para presentar tu solicitud: la ayuda financiera podría agotarse, y las clases que deseas podrían llenarse. Además, guarda copias de todos los formularios que envíes por correo o presentes en línea.</w:t>
            </w:r>
            <w:bookmarkEnd w:id="0"/>
          </w:p>
        </w:tc>
        <w:tc>
          <w:tcPr>
            <w:tcW w:w="270" w:type="dxa"/>
            <w:vMerge w:val="restart"/>
            <w:tcBorders>
              <w:right w:val="single" w:sz="18" w:space="0" w:color="auto"/>
            </w:tcBorders>
          </w:tcPr>
          <w:p w14:paraId="6B6D195F" w14:textId="77777777" w:rsidR="00F20830" w:rsidRPr="00F82E48" w:rsidRDefault="00F20830" w:rsidP="00F20830">
            <w:pPr>
              <w:rPr>
                <w:sz w:val="10"/>
                <w:szCs w:val="10"/>
              </w:rPr>
            </w:pPr>
          </w:p>
        </w:tc>
        <w:tc>
          <w:tcPr>
            <w:tcW w:w="236" w:type="dxa"/>
            <w:vMerge w:val="restart"/>
            <w:tcBorders>
              <w:left w:val="single" w:sz="18" w:space="0" w:color="auto"/>
            </w:tcBorders>
          </w:tcPr>
          <w:p w14:paraId="53734700" w14:textId="77777777" w:rsidR="00F20830" w:rsidRPr="00F82E48" w:rsidRDefault="00F20830" w:rsidP="00F20830">
            <w:pPr>
              <w:rPr>
                <w:sz w:val="10"/>
                <w:szCs w:val="10"/>
              </w:rPr>
            </w:pPr>
          </w:p>
        </w:tc>
        <w:tc>
          <w:tcPr>
            <w:tcW w:w="3001" w:type="dxa"/>
            <w:vMerge w:val="restart"/>
          </w:tcPr>
          <w:p w14:paraId="6EEFD6F7" w14:textId="1D490CDE" w:rsidR="00F20830" w:rsidRPr="00F82E48" w:rsidRDefault="00F20830" w:rsidP="005D348F">
            <w:pPr>
              <w:pStyle w:val="Titlenormal"/>
            </w:pPr>
            <w:r w:rsidRPr="00F82E48">
              <w:t>MITOS Y REALIDADES</w:t>
            </w:r>
          </w:p>
          <w:p w14:paraId="543CF75B" w14:textId="24A7BC1F" w:rsidR="005D348F" w:rsidRPr="00F82E48" w:rsidRDefault="005D348F" w:rsidP="005D348F">
            <w:pPr>
              <w:pStyle w:val="TextBody"/>
            </w:pPr>
            <w:r w:rsidRPr="00F82E48">
              <w:rPr>
                <w:b/>
              </w:rPr>
              <w:t>MITO:</w:t>
            </w:r>
            <w:r w:rsidRPr="00F82E48">
              <w:t xml:space="preserve"> Los estudiantes deben elegir una especialización y una carrera profesional antes de elegir la universidad.</w:t>
            </w:r>
          </w:p>
          <w:p w14:paraId="54C7DDB0" w14:textId="77777777" w:rsidR="005D348F" w:rsidRPr="00F82E48" w:rsidRDefault="005D348F" w:rsidP="005D348F">
            <w:pPr>
              <w:pStyle w:val="TextBody"/>
            </w:pPr>
            <w:r w:rsidRPr="00F82E48">
              <w:rPr>
                <w:b/>
              </w:rPr>
              <w:t>REALIDAD:</w:t>
            </w:r>
            <w:r w:rsidRPr="00F82E48">
              <w:t xml:space="preserve"> Para nada. </w:t>
            </w:r>
          </w:p>
          <w:p w14:paraId="4CD35F84" w14:textId="77055F70" w:rsidR="005D348F" w:rsidRPr="00F82E48" w:rsidRDefault="005D348F" w:rsidP="005D348F">
            <w:pPr>
              <w:pStyle w:val="TextBody"/>
            </w:pPr>
            <w:r w:rsidRPr="00F82E48">
              <w:t xml:space="preserve">La mayoría de las solicitudes universitarias preguntan por tu especialización </w:t>
            </w:r>
            <w:r w:rsidR="00631083">
              <w:t>“</w:t>
            </w:r>
            <w:r w:rsidRPr="00F82E48">
              <w:t>prevista</w:t>
            </w:r>
            <w:r w:rsidR="00631083">
              <w:t>”</w:t>
            </w:r>
            <w:r w:rsidRPr="00F82E48">
              <w:t xml:space="preserve">, </w:t>
            </w:r>
            <w:r w:rsidR="00631083">
              <w:br/>
            </w:r>
            <w:r w:rsidRPr="00F82E48">
              <w:t xml:space="preserve">pero eso no significa que </w:t>
            </w:r>
            <w:r w:rsidR="00631083">
              <w:br/>
            </w:r>
            <w:r w:rsidRPr="00F82E48">
              <w:t xml:space="preserve">sea inamovible. </w:t>
            </w:r>
          </w:p>
          <w:p w14:paraId="0F9C7F0F" w14:textId="548FDE3F" w:rsidR="005D348F" w:rsidRPr="00F82E48" w:rsidRDefault="005D348F" w:rsidP="005D348F">
            <w:pPr>
              <w:pStyle w:val="TextBody"/>
            </w:pPr>
            <w:r w:rsidRPr="00F82E48">
              <w:t>La universidad es un momento para que los estudiantes exploren sus intereses académicos y descubran un área en la que podrían querer especializarse.</w:t>
            </w:r>
          </w:p>
          <w:p w14:paraId="32A6085C" w14:textId="227C313E" w:rsidR="005D348F" w:rsidRPr="00F82E48" w:rsidRDefault="007369B0" w:rsidP="005D348F">
            <w:pPr>
              <w:pStyle w:val="TextBody"/>
            </w:pPr>
            <w:r w:rsidRPr="00F82E48">
              <w:t xml:space="preserve">Con frecuencia, los estudiantes descubren que su especialización es algo de lo que ni siquiera habían oído hablar en la preparatoria, por lo que tienen una cantidad razonable de tiempo para descubrir y decidir en </w:t>
            </w:r>
            <w:r w:rsidR="00631083">
              <w:br/>
            </w:r>
            <w:r w:rsidRPr="00F82E48">
              <w:t>la universidad.</w:t>
            </w:r>
          </w:p>
          <w:p w14:paraId="08779DA6" w14:textId="601A6C1A" w:rsidR="00F20830" w:rsidRPr="00F82E48" w:rsidRDefault="00631083" w:rsidP="005D348F">
            <w:r w:rsidRPr="00F82E48">
              <w:rPr>
                <w:noProof/>
              </w:rPr>
              <w:drawing>
                <wp:anchor distT="0" distB="0" distL="114300" distR="114300" simplePos="0" relativeHeight="251661824" behindDoc="0" locked="0" layoutInCell="1" allowOverlap="1" wp14:anchorId="493E4279" wp14:editId="68C68228">
                  <wp:simplePos x="0" y="0"/>
                  <wp:positionH relativeFrom="margin">
                    <wp:posOffset>493395</wp:posOffset>
                  </wp:positionH>
                  <wp:positionV relativeFrom="margin">
                    <wp:posOffset>4963389</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F82E48" w14:paraId="189CF860" w14:textId="77777777" w:rsidTr="00035894">
        <w:trPr>
          <w:trHeight w:val="67"/>
        </w:trPr>
        <w:tc>
          <w:tcPr>
            <w:tcW w:w="3678" w:type="dxa"/>
          </w:tcPr>
          <w:p w14:paraId="518A0B8D" w14:textId="20370C86" w:rsidR="00F20830" w:rsidRPr="00F82E48" w:rsidRDefault="00F20830" w:rsidP="0032348C">
            <w:pPr>
              <w:pStyle w:val="TextBody"/>
              <w:spacing w:after="0"/>
            </w:pPr>
          </w:p>
        </w:tc>
        <w:tc>
          <w:tcPr>
            <w:tcW w:w="277" w:type="dxa"/>
          </w:tcPr>
          <w:p w14:paraId="37EA0407" w14:textId="77777777" w:rsidR="00F20830" w:rsidRPr="00F82E48" w:rsidRDefault="00F20830" w:rsidP="00F20830">
            <w:pPr>
              <w:pStyle w:val="TextBody"/>
            </w:pPr>
          </w:p>
        </w:tc>
        <w:tc>
          <w:tcPr>
            <w:tcW w:w="3328" w:type="dxa"/>
          </w:tcPr>
          <w:p w14:paraId="27A95849" w14:textId="072D1BF7" w:rsidR="00F20830" w:rsidRPr="00F82E48" w:rsidRDefault="00F20830" w:rsidP="00F20830">
            <w:pPr>
              <w:pStyle w:val="TextBody"/>
            </w:pPr>
          </w:p>
        </w:tc>
        <w:tc>
          <w:tcPr>
            <w:tcW w:w="270" w:type="dxa"/>
            <w:vMerge/>
            <w:tcBorders>
              <w:right w:val="single" w:sz="18" w:space="0" w:color="auto"/>
            </w:tcBorders>
          </w:tcPr>
          <w:p w14:paraId="26ACB6E5" w14:textId="77777777" w:rsidR="00F20830" w:rsidRPr="00F82E48" w:rsidRDefault="00F20830" w:rsidP="00F20830">
            <w:pPr>
              <w:pStyle w:val="TextBody"/>
            </w:pPr>
          </w:p>
        </w:tc>
        <w:tc>
          <w:tcPr>
            <w:tcW w:w="236" w:type="dxa"/>
            <w:vMerge/>
            <w:tcBorders>
              <w:left w:val="single" w:sz="18" w:space="0" w:color="auto"/>
            </w:tcBorders>
          </w:tcPr>
          <w:p w14:paraId="4AF148E1" w14:textId="77777777" w:rsidR="00F20830" w:rsidRPr="00F82E48" w:rsidRDefault="00F20830" w:rsidP="00F20830">
            <w:pPr>
              <w:pStyle w:val="TextBody"/>
            </w:pPr>
          </w:p>
        </w:tc>
        <w:tc>
          <w:tcPr>
            <w:tcW w:w="3001" w:type="dxa"/>
            <w:vMerge/>
          </w:tcPr>
          <w:p w14:paraId="2585C9D7" w14:textId="77777777" w:rsidR="00F20830" w:rsidRPr="00F82E48" w:rsidRDefault="00F20830" w:rsidP="00F20830">
            <w:pPr>
              <w:pStyle w:val="TextBody"/>
            </w:pPr>
          </w:p>
        </w:tc>
      </w:tr>
      <w:tr w:rsidR="00F20830" w:rsidRPr="00F82E48" w14:paraId="5FF5C757" w14:textId="77777777" w:rsidTr="007A01D5">
        <w:trPr>
          <w:trHeight w:val="727"/>
        </w:trPr>
        <w:tc>
          <w:tcPr>
            <w:tcW w:w="7283" w:type="dxa"/>
            <w:gridSpan w:val="3"/>
          </w:tcPr>
          <w:p w14:paraId="4D7751F6" w14:textId="3E84CE55" w:rsidR="00F20830" w:rsidRPr="00F82E48" w:rsidRDefault="00F20830" w:rsidP="0032348C">
            <w:pPr>
              <w:pStyle w:val="Titlenormal"/>
              <w:spacing w:before="0"/>
            </w:pPr>
            <w:r w:rsidRPr="00F82E48">
              <w:t xml:space="preserve">LISTA DE VERIFICACIÓN PARA LA FAMILIA  </w:t>
            </w:r>
          </w:p>
          <w:p w14:paraId="3D288254" w14:textId="3D311B14" w:rsidR="007A01D5" w:rsidRPr="00F82E48" w:rsidRDefault="007A01D5" w:rsidP="007A01D5">
            <w:pPr>
              <w:pStyle w:val="TextBody"/>
              <w:numPr>
                <w:ilvl w:val="0"/>
                <w:numId w:val="27"/>
              </w:numPr>
              <w:spacing w:after="0"/>
            </w:pPr>
            <w:bookmarkStart w:id="1" w:name="_Hlk171494744"/>
            <w:r w:rsidRPr="00F82E48">
              <w:t>Animen a su hijo a concertar entrevistas universitarias si es necesario. Una entrevista es una forma excelente de que su hijo conozca mejor una universidad y para que la universidad conozca mejor a su hijo. Obtengan una visión general del proceso de entrevista.</w:t>
            </w:r>
          </w:p>
          <w:p w14:paraId="561CA376" w14:textId="1763B263" w:rsidR="007A01D5" w:rsidRPr="00F82E48" w:rsidRDefault="007A01D5" w:rsidP="007A01D5">
            <w:pPr>
              <w:pStyle w:val="TextBody"/>
              <w:numPr>
                <w:ilvl w:val="0"/>
                <w:numId w:val="27"/>
              </w:numPr>
              <w:spacing w:after="0"/>
            </w:pPr>
            <w:r w:rsidRPr="00F82E48">
              <w:t xml:space="preserve">Trabajen juntos para solicitar ayuda financiera. Cuanto antes la </w:t>
            </w:r>
            <w:r w:rsidR="00631083">
              <w:br/>
            </w:r>
            <w:r w:rsidRPr="00F82E48">
              <w:t>soliciten, mejor.</w:t>
            </w:r>
          </w:p>
          <w:p w14:paraId="70988759" w14:textId="5D1B0959" w:rsidR="00F20830" w:rsidRPr="00F82E48" w:rsidRDefault="007A01D5" w:rsidP="007A01D5">
            <w:pPr>
              <w:pStyle w:val="TextBody"/>
              <w:numPr>
                <w:ilvl w:val="0"/>
                <w:numId w:val="27"/>
              </w:numPr>
              <w:spacing w:after="0"/>
            </w:pPr>
            <w:r w:rsidRPr="00F82E48">
              <w:t>Infórmense juntos sobre las opciones de préstamos universitarios. Pedir un préstamo para la universidad puede ser una buena opción, especialmente si su hijo de preparatoria obtiene un préstamo federal con una tasa de interés baja. Sean precavidos; infórmense sobre las opciones de préstamo y el papel de los padres al pedir dinero prestado.</w:t>
            </w:r>
            <w:bookmarkEnd w:id="1"/>
          </w:p>
        </w:tc>
        <w:tc>
          <w:tcPr>
            <w:tcW w:w="270" w:type="dxa"/>
            <w:vMerge/>
            <w:tcBorders>
              <w:right w:val="single" w:sz="18" w:space="0" w:color="auto"/>
            </w:tcBorders>
          </w:tcPr>
          <w:p w14:paraId="268D509A" w14:textId="77777777" w:rsidR="00F20830" w:rsidRPr="00F82E48" w:rsidRDefault="00F20830" w:rsidP="00F20830">
            <w:pPr>
              <w:rPr>
                <w:sz w:val="10"/>
                <w:szCs w:val="10"/>
              </w:rPr>
            </w:pPr>
          </w:p>
        </w:tc>
        <w:tc>
          <w:tcPr>
            <w:tcW w:w="236" w:type="dxa"/>
            <w:vMerge/>
            <w:tcBorders>
              <w:left w:val="single" w:sz="18" w:space="0" w:color="auto"/>
            </w:tcBorders>
          </w:tcPr>
          <w:p w14:paraId="1659F3BF" w14:textId="77777777" w:rsidR="00F20830" w:rsidRPr="00F82E48" w:rsidRDefault="00F20830" w:rsidP="00F20830">
            <w:pPr>
              <w:rPr>
                <w:sz w:val="10"/>
                <w:szCs w:val="10"/>
              </w:rPr>
            </w:pPr>
          </w:p>
        </w:tc>
        <w:tc>
          <w:tcPr>
            <w:tcW w:w="3001" w:type="dxa"/>
            <w:vMerge/>
          </w:tcPr>
          <w:p w14:paraId="13E8AB06" w14:textId="77777777" w:rsidR="00F20830" w:rsidRPr="00F82E48" w:rsidRDefault="00F20830" w:rsidP="00F20830">
            <w:pPr>
              <w:pStyle w:val="TextBody"/>
            </w:pPr>
          </w:p>
        </w:tc>
      </w:tr>
    </w:tbl>
    <w:p w14:paraId="4229C740" w14:textId="43CF2146" w:rsidR="00A40213" w:rsidRPr="00F82E48" w:rsidRDefault="00A40213" w:rsidP="00F263B8"/>
    <w:sectPr w:rsidR="00A40213" w:rsidRPr="00F82E4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99DD" w14:textId="77777777" w:rsidR="001B4AAE" w:rsidRDefault="001B4AAE" w:rsidP="001D6100">
      <w:r>
        <w:separator/>
      </w:r>
    </w:p>
  </w:endnote>
  <w:endnote w:type="continuationSeparator" w:id="0">
    <w:p w14:paraId="3933F66D" w14:textId="77777777" w:rsidR="001B4AAE" w:rsidRDefault="001B4AAE"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DE38" w14:textId="77777777" w:rsidR="001B4AAE" w:rsidRDefault="001B4AAE" w:rsidP="001D6100">
      <w:r>
        <w:separator/>
      </w:r>
    </w:p>
  </w:footnote>
  <w:footnote w:type="continuationSeparator" w:id="0">
    <w:p w14:paraId="658578B5" w14:textId="77777777" w:rsidR="001B4AAE" w:rsidRDefault="001B4AAE"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9"/>
  </w:num>
  <w:num w:numId="4">
    <w:abstractNumId w:val="25"/>
  </w:num>
  <w:num w:numId="5">
    <w:abstractNumId w:val="11"/>
  </w:num>
  <w:num w:numId="6">
    <w:abstractNumId w:val="4"/>
  </w:num>
  <w:num w:numId="7">
    <w:abstractNumId w:val="9"/>
  </w:num>
  <w:num w:numId="8">
    <w:abstractNumId w:val="23"/>
  </w:num>
  <w:num w:numId="9">
    <w:abstractNumId w:val="13"/>
  </w:num>
  <w:num w:numId="10">
    <w:abstractNumId w:val="26"/>
  </w:num>
  <w:num w:numId="11">
    <w:abstractNumId w:val="14"/>
  </w:num>
  <w:num w:numId="12">
    <w:abstractNumId w:val="24"/>
  </w:num>
  <w:num w:numId="13">
    <w:abstractNumId w:val="1"/>
  </w:num>
  <w:num w:numId="14">
    <w:abstractNumId w:val="5"/>
  </w:num>
  <w:num w:numId="15">
    <w:abstractNumId w:val="17"/>
  </w:num>
  <w:num w:numId="16">
    <w:abstractNumId w:val="20"/>
  </w:num>
  <w:num w:numId="17">
    <w:abstractNumId w:val="3"/>
  </w:num>
  <w:num w:numId="18">
    <w:abstractNumId w:val="16"/>
  </w:num>
  <w:num w:numId="19">
    <w:abstractNumId w:val="7"/>
  </w:num>
  <w:num w:numId="20">
    <w:abstractNumId w:val="2"/>
  </w:num>
  <w:num w:numId="21">
    <w:abstractNumId w:val="22"/>
  </w:num>
  <w:num w:numId="22">
    <w:abstractNumId w:val="21"/>
  </w:num>
  <w:num w:numId="23">
    <w:abstractNumId w:val="8"/>
  </w:num>
  <w:num w:numId="24">
    <w:abstractNumId w:val="15"/>
  </w:num>
  <w:num w:numId="25">
    <w:abstractNumId w:val="18"/>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3394"/>
    <w:rsid w:val="000A06A1"/>
    <w:rsid w:val="000B7BB9"/>
    <w:rsid w:val="0013534A"/>
    <w:rsid w:val="00173094"/>
    <w:rsid w:val="001A1B0F"/>
    <w:rsid w:val="001B4AAE"/>
    <w:rsid w:val="001C2F36"/>
    <w:rsid w:val="001C3F0B"/>
    <w:rsid w:val="001C5DB1"/>
    <w:rsid w:val="001D6100"/>
    <w:rsid w:val="001E27D9"/>
    <w:rsid w:val="001F1FC0"/>
    <w:rsid w:val="00221E59"/>
    <w:rsid w:val="00235CED"/>
    <w:rsid w:val="00242CD1"/>
    <w:rsid w:val="002500E9"/>
    <w:rsid w:val="00263BF4"/>
    <w:rsid w:val="00282446"/>
    <w:rsid w:val="002941DC"/>
    <w:rsid w:val="00302C98"/>
    <w:rsid w:val="00315984"/>
    <w:rsid w:val="0032348C"/>
    <w:rsid w:val="0034461A"/>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34553"/>
    <w:rsid w:val="004A3247"/>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B4212"/>
    <w:rsid w:val="005D31A0"/>
    <w:rsid w:val="005D348F"/>
    <w:rsid w:val="005E7FDA"/>
    <w:rsid w:val="006059A9"/>
    <w:rsid w:val="0060774D"/>
    <w:rsid w:val="00615348"/>
    <w:rsid w:val="00631083"/>
    <w:rsid w:val="00633E17"/>
    <w:rsid w:val="00645773"/>
    <w:rsid w:val="0065331E"/>
    <w:rsid w:val="00654229"/>
    <w:rsid w:val="006631A8"/>
    <w:rsid w:val="00681F53"/>
    <w:rsid w:val="00685DBB"/>
    <w:rsid w:val="00692B40"/>
    <w:rsid w:val="006A6D66"/>
    <w:rsid w:val="006B498E"/>
    <w:rsid w:val="006C30F5"/>
    <w:rsid w:val="006C5F05"/>
    <w:rsid w:val="006C60E6"/>
    <w:rsid w:val="006F51A2"/>
    <w:rsid w:val="007118ED"/>
    <w:rsid w:val="00721089"/>
    <w:rsid w:val="00735F99"/>
    <w:rsid w:val="007369B0"/>
    <w:rsid w:val="00763F6E"/>
    <w:rsid w:val="0078163A"/>
    <w:rsid w:val="00793BD6"/>
    <w:rsid w:val="00794584"/>
    <w:rsid w:val="007A01D5"/>
    <w:rsid w:val="007D2AC9"/>
    <w:rsid w:val="00832D90"/>
    <w:rsid w:val="0086583D"/>
    <w:rsid w:val="0087169C"/>
    <w:rsid w:val="0088584D"/>
    <w:rsid w:val="008D4894"/>
    <w:rsid w:val="008D6DD6"/>
    <w:rsid w:val="008E1844"/>
    <w:rsid w:val="008E57BD"/>
    <w:rsid w:val="00914CE6"/>
    <w:rsid w:val="009357EB"/>
    <w:rsid w:val="0095561B"/>
    <w:rsid w:val="009752A7"/>
    <w:rsid w:val="009913C5"/>
    <w:rsid w:val="009A219F"/>
    <w:rsid w:val="009B6996"/>
    <w:rsid w:val="009D6EE0"/>
    <w:rsid w:val="009E509A"/>
    <w:rsid w:val="00A05D7D"/>
    <w:rsid w:val="00A2081B"/>
    <w:rsid w:val="00A40213"/>
    <w:rsid w:val="00A47871"/>
    <w:rsid w:val="00A55C9A"/>
    <w:rsid w:val="00A75BDB"/>
    <w:rsid w:val="00AA5A4E"/>
    <w:rsid w:val="00AA69D0"/>
    <w:rsid w:val="00AB137A"/>
    <w:rsid w:val="00AE581C"/>
    <w:rsid w:val="00AF2B0A"/>
    <w:rsid w:val="00AF5233"/>
    <w:rsid w:val="00B00C2B"/>
    <w:rsid w:val="00B056FD"/>
    <w:rsid w:val="00B20006"/>
    <w:rsid w:val="00B27754"/>
    <w:rsid w:val="00B35EDB"/>
    <w:rsid w:val="00B36600"/>
    <w:rsid w:val="00B5429C"/>
    <w:rsid w:val="00B7341E"/>
    <w:rsid w:val="00BD5E53"/>
    <w:rsid w:val="00BF1870"/>
    <w:rsid w:val="00C37449"/>
    <w:rsid w:val="00CD05DA"/>
    <w:rsid w:val="00CD5E35"/>
    <w:rsid w:val="00CE6F6F"/>
    <w:rsid w:val="00CF03F0"/>
    <w:rsid w:val="00D22CF9"/>
    <w:rsid w:val="00D305C1"/>
    <w:rsid w:val="00D46CD2"/>
    <w:rsid w:val="00D60D51"/>
    <w:rsid w:val="00DF4B6A"/>
    <w:rsid w:val="00E2788F"/>
    <w:rsid w:val="00E351BF"/>
    <w:rsid w:val="00E52F76"/>
    <w:rsid w:val="00E75770"/>
    <w:rsid w:val="00E81FD1"/>
    <w:rsid w:val="00E979F7"/>
    <w:rsid w:val="00EB0563"/>
    <w:rsid w:val="00EE662D"/>
    <w:rsid w:val="00EE6910"/>
    <w:rsid w:val="00F20830"/>
    <w:rsid w:val="00F263B8"/>
    <w:rsid w:val="00F7225C"/>
    <w:rsid w:val="00F82E4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es-US" w:bidi="en-US"/>
    </w:rPr>
  </w:style>
  <w:style w:type="paragraph" w:customStyle="1" w:styleId="TextBody">
    <w:name w:val="Text Body"/>
    <w:basedOn w:val="BodyText"/>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6F51A2"/>
    <w:rPr>
      <w:rFonts w:eastAsia="Franklin Gothic Book" w:cs="Franklin Gothic Book"/>
      <w:color w:val="000000" w:themeColor="text1"/>
      <w:sz w:val="20"/>
      <w:szCs w:val="22"/>
      <w:lang w:val="es-US"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es-US"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es-US"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es-US"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es-US"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Strong">
    <w:name w:val="Strong"/>
    <w:basedOn w:val="DefaultParagraphFont"/>
    <w:uiPriority w:val="22"/>
    <w:qFormat/>
    <w:rsid w:val="00551FBC"/>
    <w:rPr>
      <w:b/>
      <w:bCs/>
    </w:rPr>
  </w:style>
  <w:style w:type="character" w:styleId="FollowedHyperlink">
    <w:name w:val="FollowedHyperlink"/>
    <w:basedOn w:val="DefaultParagraphFont"/>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es-US"/>
            </w:rPr>
            <w:t>PRÓXIMOS EVENTOS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es-US"/>
            </w:rPr>
            <w:t>Haga clic aquí para ingresar texto.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es-US"/>
            </w:rPr>
            <w:t>Haga clic aquí para ingresar texto.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es-US"/>
            </w:rPr>
            <w:t>Haga clic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811AA8"/>
    <w:rsid w:val="0095561B"/>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38FE678E-A2FF-459C-BC1C-6ABC936D1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2024-07-02T15:48:00Z</dcterms:created>
  <dcterms:modified xsi:type="dcterms:W3CDTF">2024-09-04T22:28:00Z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