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098"/>
        <w:gridCol w:w="1152"/>
        <w:gridCol w:w="313"/>
        <w:gridCol w:w="284"/>
        <w:gridCol w:w="3372"/>
        <w:gridCol w:w="270"/>
        <w:gridCol w:w="270"/>
        <w:gridCol w:w="2520"/>
        <w:gridCol w:w="540"/>
      </w:tblGrid>
      <w:tr w:rsidR="006C30F5" w:rsidRPr="00D96CE0" w14:paraId="1A1BA359" w14:textId="77777777" w:rsidTr="002D78DB">
        <w:trPr>
          <w:trHeight w:val="454"/>
        </w:trPr>
        <w:tc>
          <w:tcPr>
            <w:tcW w:w="2079" w:type="dxa"/>
            <w:gridSpan w:val="2"/>
            <w:vAlign w:val="center"/>
          </w:tcPr>
          <w:p w14:paraId="01619DCE" w14:textId="08C4784E" w:rsidR="006C30F5" w:rsidRPr="00D96CE0" w:rsidRDefault="009D422B" w:rsidP="00F263B8">
            <w:pPr>
              <w:pStyle w:val="Info"/>
            </w:pPr>
            <w:r w:rsidRPr="00D96CE0">
              <w:rPr>
                <w:noProof/>
              </w:rPr>
              <w:drawing>
                <wp:anchor distT="0" distB="0" distL="114300" distR="114300" simplePos="0" relativeHeight="251658242" behindDoc="1" locked="0" layoutInCell="1" allowOverlap="1" wp14:anchorId="74480387" wp14:editId="5B209C4D">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8181" w:type="dxa"/>
            <w:gridSpan w:val="7"/>
            <w:shd w:val="clear" w:color="auto" w:fill="42BA97" w:themeFill="accent4"/>
          </w:tcPr>
          <w:p w14:paraId="55B7DB51" w14:textId="7F7BCB78" w:rsidR="006C30F5" w:rsidRPr="00D96CE0" w:rsidRDefault="00282446" w:rsidP="00F263B8">
            <w:pPr>
              <w:pStyle w:val="Heading2"/>
            </w:pPr>
            <w:r w:rsidRPr="00D96CE0">
              <w:rPr>
                <w:color w:val="000000" w:themeColor="text1"/>
              </w:rPr>
              <w:t xml:space="preserve">Decimosegundo grado | Edición de verano </w:t>
            </w:r>
          </w:p>
        </w:tc>
        <w:tc>
          <w:tcPr>
            <w:tcW w:w="540" w:type="dxa"/>
            <w:vAlign w:val="center"/>
          </w:tcPr>
          <w:p w14:paraId="09659BEE" w14:textId="2943D89A" w:rsidR="006C30F5" w:rsidRPr="00D96CE0" w:rsidRDefault="006C30F5" w:rsidP="00F263B8"/>
        </w:tc>
      </w:tr>
      <w:tr w:rsidR="006C30F5" w:rsidRPr="00D96CE0" w14:paraId="4359D7EA" w14:textId="77777777" w:rsidTr="00B056FD">
        <w:trPr>
          <w:trHeight w:val="288"/>
        </w:trPr>
        <w:tc>
          <w:tcPr>
            <w:tcW w:w="10800" w:type="dxa"/>
            <w:gridSpan w:val="10"/>
          </w:tcPr>
          <w:p w14:paraId="23F9DB2B" w14:textId="7552FA48" w:rsidR="006C30F5" w:rsidRPr="00D96CE0" w:rsidRDefault="006C30F5" w:rsidP="00F263B8">
            <w:pPr>
              <w:rPr>
                <w:sz w:val="10"/>
                <w:szCs w:val="10"/>
              </w:rPr>
            </w:pPr>
          </w:p>
        </w:tc>
      </w:tr>
      <w:tr w:rsidR="002D78DB" w:rsidRPr="00D96CE0" w14:paraId="178CAC26" w14:textId="77777777" w:rsidTr="005226C3">
        <w:trPr>
          <w:trHeight w:val="864"/>
        </w:trPr>
        <w:tc>
          <w:tcPr>
            <w:tcW w:w="981" w:type="dxa"/>
            <w:vAlign w:val="center"/>
          </w:tcPr>
          <w:p w14:paraId="407B2EE0" w14:textId="6BD99ED7" w:rsidR="002D78DB" w:rsidRPr="00D96CE0" w:rsidRDefault="002D78DB" w:rsidP="00F263B8"/>
        </w:tc>
        <w:tc>
          <w:tcPr>
            <w:tcW w:w="9819" w:type="dxa"/>
            <w:gridSpan w:val="9"/>
            <w:vAlign w:val="center"/>
          </w:tcPr>
          <w:p w14:paraId="4DA2A452" w14:textId="77777777" w:rsidR="002D78DB" w:rsidRPr="00D96CE0" w:rsidRDefault="002D78DB" w:rsidP="002D78DB">
            <w:pPr>
              <w:pStyle w:val="Heading1"/>
              <w:ind w:left="545"/>
              <w:rPr>
                <w:sz w:val="48"/>
                <w:szCs w:val="20"/>
              </w:rPr>
            </w:pPr>
            <w:r w:rsidRPr="00D96CE0">
              <w:rPr>
                <w:sz w:val="48"/>
                <w:szCs w:val="20"/>
              </w:rPr>
              <w:t>PLANTILLA DEL BOLETÍN INFORMATIVO</w:t>
            </w:r>
          </w:p>
          <w:p w14:paraId="6B2F7AF3" w14:textId="40D4461D" w:rsidR="002D78DB" w:rsidRPr="00D96CE0" w:rsidRDefault="002D78DB" w:rsidP="002D78DB">
            <w:pPr>
              <w:pStyle w:val="Heading2"/>
              <w:spacing w:before="0"/>
              <w:ind w:left="545"/>
            </w:pPr>
            <w:r w:rsidRPr="00D96CE0">
              <w:t xml:space="preserve">High School &amp; Beyond Planning (Planificación </w:t>
            </w:r>
            <w:r w:rsidRPr="00D96CE0">
              <w:rPr>
                <w:lang w:val="en-US"/>
              </w:rPr>
              <w:t>para</w:t>
            </w:r>
            <w:r w:rsidRPr="00D96CE0">
              <w:t xml:space="preserve"> la Preparatoria </w:t>
            </w:r>
            <w:r w:rsidRPr="00D96CE0">
              <w:br/>
              <w:t>y Más Allá): Noticias e información</w:t>
            </w:r>
          </w:p>
        </w:tc>
      </w:tr>
      <w:tr w:rsidR="006C30F5" w:rsidRPr="00D96CE0" w14:paraId="3A5CC13C" w14:textId="77777777" w:rsidTr="00035894">
        <w:tc>
          <w:tcPr>
            <w:tcW w:w="10800" w:type="dxa"/>
            <w:gridSpan w:val="10"/>
            <w:tcBorders>
              <w:bottom w:val="single" w:sz="18" w:space="0" w:color="auto"/>
            </w:tcBorders>
          </w:tcPr>
          <w:p w14:paraId="3B36A4CB" w14:textId="77777777" w:rsidR="006C30F5" w:rsidRPr="00D96CE0" w:rsidRDefault="006C30F5" w:rsidP="00F263B8">
            <w:pPr>
              <w:rPr>
                <w:sz w:val="16"/>
                <w:szCs w:val="16"/>
              </w:rPr>
            </w:pPr>
          </w:p>
        </w:tc>
      </w:tr>
      <w:tr w:rsidR="00221E59" w:rsidRPr="00D96CE0" w14:paraId="0CE963F1" w14:textId="77777777" w:rsidTr="00035894">
        <w:tc>
          <w:tcPr>
            <w:tcW w:w="10800" w:type="dxa"/>
            <w:gridSpan w:val="10"/>
            <w:tcBorders>
              <w:top w:val="single" w:sz="18" w:space="0" w:color="auto"/>
            </w:tcBorders>
            <w:vAlign w:val="center"/>
          </w:tcPr>
          <w:p w14:paraId="3E4C3711" w14:textId="4B3A8E12" w:rsidR="00221E59" w:rsidRPr="00D96CE0" w:rsidRDefault="00221E59" w:rsidP="00F263B8">
            <w:pPr>
              <w:pStyle w:val="Info"/>
              <w:jc w:val="right"/>
              <w:rPr>
                <w:i/>
                <w:iCs/>
                <w:color w:val="000000" w:themeColor="text1"/>
                <w:sz w:val="18"/>
                <w:lang w:val="en-US"/>
              </w:rPr>
            </w:pPr>
            <w:r w:rsidRPr="00D96CE0">
              <w:rPr>
                <w:i/>
                <w:iCs/>
                <w:color w:val="C00000"/>
                <w:sz w:val="18"/>
                <w:lang w:val="en-US"/>
              </w:rPr>
              <w:t>Replace with School Contact Info</w:t>
            </w:r>
          </w:p>
        </w:tc>
      </w:tr>
      <w:tr w:rsidR="004B1CE7" w:rsidRPr="00D96CE0" w14:paraId="51EF200A" w14:textId="77777777" w:rsidTr="00035894">
        <w:trPr>
          <w:trHeight w:val="144"/>
        </w:trPr>
        <w:tc>
          <w:tcPr>
            <w:tcW w:w="10800" w:type="dxa"/>
            <w:gridSpan w:val="10"/>
          </w:tcPr>
          <w:p w14:paraId="58125260" w14:textId="77777777" w:rsidR="004B1CE7" w:rsidRPr="00D96CE0" w:rsidRDefault="004B1CE7" w:rsidP="00F263B8">
            <w:pPr>
              <w:rPr>
                <w:sz w:val="16"/>
                <w:szCs w:val="16"/>
                <w:lang w:val="en-US"/>
              </w:rPr>
            </w:pPr>
          </w:p>
        </w:tc>
      </w:tr>
      <w:tr w:rsidR="00D46CD2" w:rsidRPr="00D96CE0" w14:paraId="55E2CE09" w14:textId="77777777" w:rsidTr="00620321">
        <w:trPr>
          <w:trHeight w:val="3985"/>
        </w:trPr>
        <w:tc>
          <w:tcPr>
            <w:tcW w:w="3231" w:type="dxa"/>
            <w:gridSpan w:val="3"/>
            <w:vMerge w:val="restart"/>
          </w:tcPr>
          <w:p w14:paraId="6744357E" w14:textId="0C0FCD6F" w:rsidR="00231497" w:rsidRPr="00D96CE0" w:rsidRDefault="00DD7A38" w:rsidP="00DD7A38">
            <w:pPr>
              <w:pStyle w:val="Titlenormal"/>
            </w:pPr>
            <w:r w:rsidRPr="00D96CE0">
              <w:t xml:space="preserve">¡FELICIDADES! </w:t>
            </w:r>
          </w:p>
          <w:p w14:paraId="3EC50887" w14:textId="6E1B6DB8" w:rsidR="00231497" w:rsidRPr="00D96CE0" w:rsidRDefault="00231497" w:rsidP="00231497">
            <w:r w:rsidRPr="00D96CE0">
              <w:t xml:space="preserve">Graduarse de la preparatoria es algo muy importante. Su hijo adolescente se esforzó, estudió mucho y aprobó. </w:t>
            </w:r>
          </w:p>
          <w:p w14:paraId="14DD91C3" w14:textId="77777777" w:rsidR="00231497" w:rsidRPr="00D96CE0" w:rsidRDefault="00231497" w:rsidP="00DD7A38">
            <w:pPr>
              <w:pStyle w:val="Quotename"/>
              <w:rPr>
                <w:b/>
                <w:bCs/>
              </w:rPr>
            </w:pPr>
            <w:r w:rsidRPr="00D96CE0">
              <w:rPr>
                <w:b/>
              </w:rPr>
              <w:t>Principales consejos para su hijo</w:t>
            </w:r>
          </w:p>
          <w:p w14:paraId="132DA2E9" w14:textId="77777777" w:rsidR="00231497" w:rsidRPr="00D96CE0" w:rsidRDefault="00231497" w:rsidP="00231497">
            <w:r w:rsidRPr="00D96CE0">
              <w:t xml:space="preserve">Si tu universidad te envía un correo o correo electrónico, ¡LÉELO! No te enviarán información que no necesites. No te arriesgues a perderte fechas límite, trámites o detalles importantes por no haber leído el correo. </w:t>
            </w:r>
          </w:p>
          <w:p w14:paraId="39EC6DFB" w14:textId="0FF95E8E" w:rsidR="00231497" w:rsidRPr="00D96CE0" w:rsidRDefault="00231497" w:rsidP="00162916">
            <w:pPr>
              <w:spacing w:before="240"/>
            </w:pPr>
            <w:r w:rsidRPr="00D96CE0">
              <w:t xml:space="preserve">¡Exprésate! No tengas miedo de abogar por ti mismo. Si necesitas ayuda, pídela. Si no entiendes algo, dilo. Debes ser tu propio defensor, así que habla por ti mismo. </w:t>
            </w:r>
          </w:p>
          <w:p w14:paraId="52FF752C" w14:textId="58FC1BC5" w:rsidR="00231497" w:rsidRPr="00D96CE0" w:rsidRDefault="00231497" w:rsidP="00162916">
            <w:pPr>
              <w:spacing w:before="240"/>
            </w:pPr>
            <w:r w:rsidRPr="00D96CE0">
              <w:t xml:space="preserve">Haz tantas preguntas como necesites hasta que obtengas las respuestas. Esto es válido para las clases, la información sobre la ayuda financiera, los bancos, etc. </w:t>
            </w:r>
          </w:p>
          <w:p w14:paraId="3C9107E7" w14:textId="4B149657" w:rsidR="00D46CD2" w:rsidRPr="00D96CE0" w:rsidRDefault="00231497" w:rsidP="00162916">
            <w:pPr>
              <w:spacing w:before="240"/>
            </w:pPr>
            <w:r w:rsidRPr="00D96CE0">
              <w:t>Todos los demás se sienten igual que tú. ¿Confundido? ¿Nostálgico? ¿Preocupado? Lo más probable es que la mayoría de los nuevos estudiantes de tu universidad se sientan igual que tú. Ponte en contacto con los demás a través de clubes, reuniones sociales del dormitorio u otras actividades organizadas. Antes de que empiecen las clases, revisa las redes sociales y ve si tu universidad o colegio tiene una página para estudiantes. Puede ser una buena forma de contactar con otros estudiantes ¡incluso antes de que empiece el curso!</w:t>
            </w:r>
          </w:p>
        </w:tc>
        <w:tc>
          <w:tcPr>
            <w:tcW w:w="313" w:type="dxa"/>
            <w:vMerge w:val="restart"/>
            <w:tcBorders>
              <w:right w:val="single" w:sz="18" w:space="0" w:color="auto"/>
            </w:tcBorders>
          </w:tcPr>
          <w:p w14:paraId="22E8ECCE" w14:textId="20EADE00" w:rsidR="00D46CD2" w:rsidRPr="00D96CE0" w:rsidRDefault="00D46CD2" w:rsidP="00F263B8"/>
        </w:tc>
        <w:tc>
          <w:tcPr>
            <w:tcW w:w="284" w:type="dxa"/>
            <w:vMerge w:val="restart"/>
            <w:tcBorders>
              <w:left w:val="single" w:sz="18" w:space="0" w:color="auto"/>
            </w:tcBorders>
          </w:tcPr>
          <w:p w14:paraId="5CD1640A" w14:textId="77777777" w:rsidR="00D46CD2" w:rsidRPr="00D96CE0" w:rsidRDefault="00D46CD2" w:rsidP="00F263B8"/>
        </w:tc>
        <w:tc>
          <w:tcPr>
            <w:tcW w:w="3372" w:type="dxa"/>
            <w:tcBorders>
              <w:bottom w:val="single" w:sz="18" w:space="0" w:color="auto"/>
            </w:tcBorders>
          </w:tcPr>
          <w:p w14:paraId="67F7BF3A" w14:textId="06AD0F04" w:rsidR="00263BF4" w:rsidRPr="00D96CE0" w:rsidRDefault="00263BF4" w:rsidP="00231497"/>
        </w:tc>
        <w:tc>
          <w:tcPr>
            <w:tcW w:w="3600" w:type="dxa"/>
            <w:gridSpan w:val="4"/>
          </w:tcPr>
          <w:p w14:paraId="6A8044F8" w14:textId="37255CF9" w:rsidR="00AF5233" w:rsidRPr="00D96CE0" w:rsidRDefault="00AF5233" w:rsidP="00620321">
            <w:pPr>
              <w:pStyle w:val="TextBody"/>
            </w:pPr>
          </w:p>
        </w:tc>
      </w:tr>
      <w:tr w:rsidR="006C30F5" w:rsidRPr="00D96CE0" w14:paraId="0727042E" w14:textId="77777777" w:rsidTr="00035894">
        <w:trPr>
          <w:trHeight w:val="432"/>
        </w:trPr>
        <w:tc>
          <w:tcPr>
            <w:tcW w:w="3231" w:type="dxa"/>
            <w:gridSpan w:val="3"/>
            <w:vMerge/>
          </w:tcPr>
          <w:p w14:paraId="4BE4CE13" w14:textId="77777777" w:rsidR="006C30F5" w:rsidRPr="00D96CE0" w:rsidRDefault="006C30F5" w:rsidP="00F263B8"/>
        </w:tc>
        <w:tc>
          <w:tcPr>
            <w:tcW w:w="313" w:type="dxa"/>
            <w:vMerge/>
            <w:tcBorders>
              <w:right w:val="single" w:sz="18" w:space="0" w:color="auto"/>
            </w:tcBorders>
          </w:tcPr>
          <w:p w14:paraId="23C2818D" w14:textId="77777777" w:rsidR="006C30F5" w:rsidRPr="00D96CE0" w:rsidRDefault="006C30F5" w:rsidP="00F263B8"/>
        </w:tc>
        <w:tc>
          <w:tcPr>
            <w:tcW w:w="284" w:type="dxa"/>
            <w:vMerge/>
            <w:tcBorders>
              <w:left w:val="single" w:sz="18" w:space="0" w:color="auto"/>
            </w:tcBorders>
          </w:tcPr>
          <w:p w14:paraId="77F0BF1C" w14:textId="77777777" w:rsidR="006C30F5" w:rsidRPr="00D96CE0" w:rsidRDefault="006C30F5" w:rsidP="00F263B8"/>
        </w:tc>
        <w:tc>
          <w:tcPr>
            <w:tcW w:w="3372" w:type="dxa"/>
            <w:tcBorders>
              <w:top w:val="single" w:sz="18" w:space="0" w:color="auto"/>
            </w:tcBorders>
          </w:tcPr>
          <w:p w14:paraId="69E07A8C" w14:textId="77777777" w:rsidR="006C30F5" w:rsidRPr="00D96CE0" w:rsidRDefault="006C30F5" w:rsidP="00F263B8"/>
        </w:tc>
        <w:tc>
          <w:tcPr>
            <w:tcW w:w="270" w:type="dxa"/>
            <w:tcBorders>
              <w:top w:val="single" w:sz="18" w:space="0" w:color="auto"/>
            </w:tcBorders>
          </w:tcPr>
          <w:p w14:paraId="63CA43EB" w14:textId="77777777" w:rsidR="006C30F5" w:rsidRPr="00D96CE0" w:rsidRDefault="006C30F5" w:rsidP="00F263B8"/>
        </w:tc>
        <w:tc>
          <w:tcPr>
            <w:tcW w:w="270" w:type="dxa"/>
            <w:tcBorders>
              <w:top w:val="single" w:sz="18" w:space="0" w:color="auto"/>
            </w:tcBorders>
          </w:tcPr>
          <w:p w14:paraId="619C8043" w14:textId="77777777" w:rsidR="006C30F5" w:rsidRPr="00D96CE0" w:rsidRDefault="006C30F5" w:rsidP="00F263B8"/>
        </w:tc>
        <w:tc>
          <w:tcPr>
            <w:tcW w:w="3060" w:type="dxa"/>
            <w:gridSpan w:val="2"/>
            <w:tcBorders>
              <w:top w:val="single" w:sz="18" w:space="0" w:color="auto"/>
            </w:tcBorders>
          </w:tcPr>
          <w:p w14:paraId="4BF167C6" w14:textId="77777777" w:rsidR="006C30F5" w:rsidRPr="00D96CE0" w:rsidRDefault="006C30F5" w:rsidP="00F263B8"/>
        </w:tc>
      </w:tr>
      <w:tr w:rsidR="006C30F5" w:rsidRPr="00D96CE0" w14:paraId="7B5B841B" w14:textId="77777777" w:rsidTr="00035894">
        <w:trPr>
          <w:trHeight w:val="4320"/>
        </w:trPr>
        <w:tc>
          <w:tcPr>
            <w:tcW w:w="3231" w:type="dxa"/>
            <w:gridSpan w:val="3"/>
            <w:vMerge/>
          </w:tcPr>
          <w:p w14:paraId="5144FECC" w14:textId="77777777" w:rsidR="006C30F5" w:rsidRPr="00D96CE0" w:rsidRDefault="006C30F5" w:rsidP="00F263B8"/>
        </w:tc>
        <w:tc>
          <w:tcPr>
            <w:tcW w:w="313" w:type="dxa"/>
            <w:vMerge/>
            <w:tcBorders>
              <w:right w:val="single" w:sz="18" w:space="0" w:color="auto"/>
            </w:tcBorders>
          </w:tcPr>
          <w:p w14:paraId="5EEFACED" w14:textId="77777777" w:rsidR="006C30F5" w:rsidRPr="00D96CE0" w:rsidRDefault="006C30F5" w:rsidP="00F263B8"/>
        </w:tc>
        <w:tc>
          <w:tcPr>
            <w:tcW w:w="284" w:type="dxa"/>
            <w:vMerge/>
            <w:tcBorders>
              <w:left w:val="single" w:sz="18" w:space="0" w:color="auto"/>
            </w:tcBorders>
          </w:tcPr>
          <w:p w14:paraId="2BC9F19E" w14:textId="77777777" w:rsidR="006C30F5" w:rsidRPr="00D96CE0" w:rsidRDefault="006C30F5" w:rsidP="00F263B8"/>
        </w:tc>
        <w:tc>
          <w:tcPr>
            <w:tcW w:w="3372" w:type="dxa"/>
          </w:tcPr>
          <w:p w14:paraId="05DBA5EC" w14:textId="53B27488" w:rsidR="006C30F5" w:rsidRPr="00D96CE0" w:rsidRDefault="00FE7BC8" w:rsidP="00FE1655">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03301" w:rsidRPr="00D96CE0">
                  <w:rPr>
                    <w:rStyle w:val="TitlenormalChar"/>
                  </w:rPr>
                  <w:t>PRÓXIMOS EVENTOS</w:t>
                </w:r>
              </w:sdtContent>
            </w:sdt>
          </w:p>
          <w:p w14:paraId="347FA6EA" w14:textId="2D3E5DAA" w:rsidR="006C30F5" w:rsidRPr="00D96CE0" w:rsidRDefault="006C30F5" w:rsidP="00FE1655"/>
          <w:p w14:paraId="340D22C2" w14:textId="09364564" w:rsidR="00FF5E20" w:rsidRPr="00D96CE0" w:rsidRDefault="00FE7BC8" w:rsidP="00EA4A7E">
            <w:pPr>
              <w:pStyle w:val="ListParagraph"/>
              <w:numPr>
                <w:ilvl w:val="0"/>
                <w:numId w:val="3"/>
              </w:numPr>
              <w:ind w:right="256"/>
              <w:rPr>
                <w:i/>
                <w:iCs/>
                <w:color w:val="A6A6A6" w:themeColor="background1" w:themeShade="A6"/>
              </w:rPr>
            </w:pPr>
            <w:sdt>
              <w:sdtPr>
                <w:rPr>
                  <w:i/>
                  <w:iCs/>
                  <w:color w:val="A6A6A6" w:themeColor="background1" w:themeShade="A6"/>
                </w:rPr>
                <w:id w:val="-1628150936"/>
                <w:placeholder>
                  <w:docPart w:val="EA7A00A92EF74F2593D77E1A133A11C4"/>
                </w:placeholder>
              </w:sdtPr>
              <w:sdtEndPr/>
              <w:sdtContent>
                <w:sdt>
                  <w:sdtPr>
                    <w:rPr>
                      <w:i/>
                      <w:iCs/>
                      <w:color w:val="A6A6A6" w:themeColor="background1" w:themeShade="A6"/>
                    </w:rPr>
                    <w:id w:val="-1441836109"/>
                    <w:placeholder>
                      <w:docPart w:val="2DCAB4B9D01E4BC995A861E0057886C6"/>
                    </w:placeholder>
                  </w:sdtPr>
                  <w:sdtEndPr/>
                  <w:sdtContent>
                    <w:sdt>
                      <w:sdtPr>
                        <w:rPr>
                          <w:i/>
                          <w:iCs/>
                          <w:color w:val="A6A6A6" w:themeColor="background1" w:themeShade="A6"/>
                        </w:rPr>
                        <w:id w:val="2022893207"/>
                        <w:placeholder>
                          <w:docPart w:val="B2EBD7BA2B1E4A0E8B32016484770F92"/>
                        </w:placeholder>
                        <w:showingPlcHdr/>
                      </w:sdtPr>
                      <w:sdtEndPr/>
                      <w:sdtContent>
                        <w:r w:rsidR="00703301" w:rsidRPr="00D96CE0">
                          <w:rPr>
                            <w:rStyle w:val="PlaceholderText"/>
                            <w:i/>
                            <w:iCs/>
                            <w:color w:val="C00000"/>
                          </w:rPr>
                          <w:t>Haga clic aquí para ingresar texto.</w:t>
                        </w:r>
                      </w:sdtContent>
                    </w:sdt>
                  </w:sdtContent>
                </w:sdt>
              </w:sdtContent>
            </w:sdt>
          </w:p>
          <w:p w14:paraId="7D46F4FD" w14:textId="184DB987" w:rsidR="006C30F5" w:rsidRPr="00D96CE0" w:rsidRDefault="006C30F5" w:rsidP="00FE1655">
            <w:pPr>
              <w:ind w:left="360"/>
            </w:pPr>
          </w:p>
        </w:tc>
        <w:tc>
          <w:tcPr>
            <w:tcW w:w="270" w:type="dxa"/>
            <w:tcBorders>
              <w:right w:val="single" w:sz="18" w:space="0" w:color="auto"/>
            </w:tcBorders>
          </w:tcPr>
          <w:p w14:paraId="562E0CFE" w14:textId="77777777" w:rsidR="006C30F5" w:rsidRPr="00D96CE0" w:rsidRDefault="006C30F5" w:rsidP="00F263B8"/>
        </w:tc>
        <w:tc>
          <w:tcPr>
            <w:tcW w:w="270" w:type="dxa"/>
            <w:tcBorders>
              <w:left w:val="single" w:sz="18" w:space="0" w:color="auto"/>
            </w:tcBorders>
          </w:tcPr>
          <w:p w14:paraId="26318FC3" w14:textId="380941CC" w:rsidR="006C30F5" w:rsidRPr="00D96CE0" w:rsidRDefault="006C30F5" w:rsidP="00F263B8"/>
        </w:tc>
        <w:tc>
          <w:tcPr>
            <w:tcW w:w="3060" w:type="dxa"/>
            <w:gridSpan w:val="2"/>
          </w:tcPr>
          <w:p w14:paraId="04A458B9" w14:textId="7D1D2895" w:rsidR="0013534A" w:rsidRPr="00D96CE0" w:rsidRDefault="0013534A" w:rsidP="0013534A">
            <w:pPr>
              <w:jc w:val="center"/>
              <w:rPr>
                <w:rStyle w:val="TitlenormalChar"/>
              </w:rPr>
            </w:pPr>
            <w:r w:rsidRPr="00D96CE0">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D96CE0" w:rsidRDefault="00B20006" w:rsidP="0013534A">
            <w:pPr>
              <w:jc w:val="center"/>
            </w:pPr>
            <w:r w:rsidRPr="00D96CE0">
              <w:rPr>
                <w:rStyle w:val="TitlenormalChar"/>
              </w:rPr>
              <w:t>¿SABÍA QUÉ?</w:t>
            </w:r>
          </w:p>
          <w:p w14:paraId="4FA61D2D" w14:textId="6D711E18" w:rsidR="00D70B4E" w:rsidRPr="00D96CE0" w:rsidRDefault="00D70B4E" w:rsidP="00D70B4E">
            <w:r w:rsidRPr="00D96CE0">
              <w:t xml:space="preserve">Durante el verano, es probable que su hijo adolescente reciba una factura estimada de los gastos (colegiatura, alojamiento y manutención, etc.). No se asuste. </w:t>
            </w:r>
            <w:r w:rsidR="00EA4A7E">
              <w:br/>
            </w:r>
            <w:r w:rsidRPr="00D96CE0">
              <w:t xml:space="preserve">En el otoño, la universidad o el colegio aplicará toda la ayuda financiera del estudiante (subvenciones, becas, préstamos) a esta factura. Lo más probable es que la cantidad restante sea lo que se debe. La mayoría de los colegios y universidades tienen planes de pago para ayudar a distribuir a lo largo del tiempo los costos restantes una vez agotada la ayuda económica. Comuníquese con la universidad para acordar un plan de pago; ellos trabajarán </w:t>
            </w:r>
            <w:r w:rsidR="00EA4A7E">
              <w:br/>
            </w:r>
            <w:r w:rsidRPr="00D96CE0">
              <w:t>con usted.</w:t>
            </w:r>
          </w:p>
          <w:p w14:paraId="5664FD70" w14:textId="4B8BDCE5" w:rsidR="00CD5E35" w:rsidRPr="00D96CE0" w:rsidRDefault="00CD5E35" w:rsidP="00A75BDB"/>
        </w:tc>
      </w:tr>
    </w:tbl>
    <w:p w14:paraId="1BDD458E" w14:textId="66D0DCB0" w:rsidR="003C7B1E" w:rsidRPr="00D96CE0" w:rsidRDefault="003C7B1E"/>
    <w:p w14:paraId="75AF312A" w14:textId="77777777" w:rsidR="003C7B1E" w:rsidRPr="00D96CE0" w:rsidRDefault="003C7B1E">
      <w:r w:rsidRPr="00D96CE0">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D96CE0" w14:paraId="6F1EC783" w14:textId="77777777" w:rsidTr="00035894">
        <w:trPr>
          <w:trHeight w:val="454"/>
        </w:trPr>
        <w:tc>
          <w:tcPr>
            <w:tcW w:w="10790" w:type="dxa"/>
            <w:gridSpan w:val="6"/>
            <w:tcBorders>
              <w:bottom w:val="single" w:sz="18" w:space="0" w:color="auto"/>
            </w:tcBorders>
          </w:tcPr>
          <w:p w14:paraId="0C643917" w14:textId="46FE2561" w:rsidR="00221E59" w:rsidRPr="00D96CE0" w:rsidRDefault="00FE7BC8" w:rsidP="00221E59">
            <w:pPr>
              <w:rPr>
                <w:rStyle w:val="Heading2Char"/>
              </w:rPr>
            </w:pPr>
            <w:r w:rsidRPr="00D96CE0">
              <w:rPr>
                <w:rStyle w:val="Heading3Char"/>
              </w:rPr>
              <w:lastRenderedPageBreak/>
              <w:pict w14:anchorId="50A28C82">
                <v:group id="Group 1383" o:spid="_x0000_s1026" alt="&quot;&quot;" style="position:absolute;margin-left:-33.75pt;margin-top:-30pt;width:612pt;height:11in;z-index:-25165619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88584D" w:rsidRPr="00D96CE0">
              <w:rPr>
                <w:rStyle w:val="Heading3Char"/>
              </w:rPr>
              <w:t>High School &amp; Beyond Planning</w:t>
            </w:r>
            <w:r w:rsidR="00221E59" w:rsidRPr="00D96CE0">
              <w:rPr>
                <w:rStyle w:val="Heading2Char"/>
              </w:rPr>
              <w:t xml:space="preserve"> </w:t>
            </w:r>
          </w:p>
          <w:p w14:paraId="4CEE5AD0" w14:textId="2889B202" w:rsidR="00221E59" w:rsidRPr="00D96CE0" w:rsidRDefault="0048471B" w:rsidP="00221E59">
            <w:r w:rsidRPr="00D96CE0">
              <w:rPr>
                <w:rStyle w:val="Heading2Char"/>
                <w:color w:val="000000" w:themeColor="text1"/>
              </w:rPr>
              <w:t xml:space="preserve">Decimosegundo grado | </w:t>
            </w:r>
            <w:r w:rsidRPr="00D96CE0">
              <w:rPr>
                <w:rStyle w:val="Heading2Char"/>
                <w:color w:val="auto"/>
              </w:rPr>
              <w:t>Edición de verano | gearup.wa.gov</w:t>
            </w:r>
          </w:p>
        </w:tc>
      </w:tr>
      <w:tr w:rsidR="003924B1" w:rsidRPr="00D96CE0" w14:paraId="68BDF0EE" w14:textId="77777777" w:rsidTr="009D422B">
        <w:trPr>
          <w:trHeight w:val="331"/>
        </w:trPr>
        <w:tc>
          <w:tcPr>
            <w:tcW w:w="10790" w:type="dxa"/>
            <w:gridSpan w:val="6"/>
            <w:tcBorders>
              <w:top w:val="single" w:sz="18" w:space="0" w:color="auto"/>
            </w:tcBorders>
          </w:tcPr>
          <w:p w14:paraId="0267F210" w14:textId="77777777" w:rsidR="003924B1" w:rsidRPr="00D96CE0" w:rsidRDefault="003924B1" w:rsidP="00BA1778">
            <w:pPr>
              <w:rPr>
                <w:sz w:val="14"/>
                <w:szCs w:val="14"/>
              </w:rPr>
            </w:pPr>
          </w:p>
        </w:tc>
      </w:tr>
      <w:tr w:rsidR="00F20830" w:rsidRPr="00D96CE0" w14:paraId="41244D99" w14:textId="77777777" w:rsidTr="00035894">
        <w:trPr>
          <w:trHeight w:val="735"/>
        </w:trPr>
        <w:tc>
          <w:tcPr>
            <w:tcW w:w="3678" w:type="dxa"/>
          </w:tcPr>
          <w:p w14:paraId="346B1E21" w14:textId="60567DCD" w:rsidR="00F20830" w:rsidRPr="00D96CE0" w:rsidRDefault="007A01D5" w:rsidP="009D422B">
            <w:pPr>
              <w:rPr>
                <w:b/>
                <w:bCs/>
                <w:i/>
                <w:iCs/>
                <w:color w:val="C00000"/>
              </w:rPr>
            </w:pPr>
            <w:r w:rsidRPr="00D96CE0">
              <w:rPr>
                <w:b/>
                <w:bCs/>
                <w:i/>
                <w:iCs/>
                <w:color w:val="C00000"/>
              </w:rPr>
              <w:t xml:space="preserve">Insert Financial Aid Completion </w:t>
            </w:r>
            <w:r w:rsidR="00315ACB">
              <w:rPr>
                <w:b/>
                <w:bCs/>
                <w:i/>
                <w:iCs/>
                <w:color w:val="C00000"/>
              </w:rPr>
              <w:br/>
            </w:r>
            <w:r w:rsidRPr="00D96CE0">
              <w:rPr>
                <w:b/>
                <w:bCs/>
                <w:i/>
                <w:iCs/>
                <w:color w:val="C00000"/>
              </w:rPr>
              <w:t>Event Information</w:t>
            </w:r>
          </w:p>
        </w:tc>
        <w:tc>
          <w:tcPr>
            <w:tcW w:w="277" w:type="dxa"/>
            <w:vMerge w:val="restart"/>
          </w:tcPr>
          <w:p w14:paraId="3295F43E" w14:textId="220694F4" w:rsidR="00F20830" w:rsidRPr="00D96CE0" w:rsidRDefault="00F20830" w:rsidP="009D422B">
            <w:pPr>
              <w:rPr>
                <w:b/>
                <w:bCs/>
                <w:i/>
                <w:iCs/>
                <w:color w:val="C00000"/>
              </w:rPr>
            </w:pPr>
          </w:p>
        </w:tc>
        <w:tc>
          <w:tcPr>
            <w:tcW w:w="6835" w:type="dxa"/>
            <w:gridSpan w:val="4"/>
            <w:vMerge w:val="restart"/>
          </w:tcPr>
          <w:p w14:paraId="622F06CA" w14:textId="11A51A12" w:rsidR="00F20830" w:rsidRPr="00D96CE0" w:rsidRDefault="007A01D5" w:rsidP="009D422B">
            <w:pPr>
              <w:rPr>
                <w:b/>
                <w:bCs/>
                <w:i/>
                <w:iCs/>
                <w:color w:val="C00000"/>
              </w:rPr>
            </w:pPr>
            <w:r w:rsidRPr="00D96CE0">
              <w:rPr>
                <w:b/>
                <w:bCs/>
                <w:i/>
                <w:iCs/>
                <w:color w:val="C00000"/>
              </w:rPr>
              <w:t>Insert Financial Aid Completion Event Information</w:t>
            </w:r>
          </w:p>
        </w:tc>
      </w:tr>
      <w:tr w:rsidR="00F20830" w:rsidRPr="00D96CE0" w14:paraId="7CB159C4" w14:textId="77777777" w:rsidTr="00F20830">
        <w:trPr>
          <w:trHeight w:val="2041"/>
        </w:trPr>
        <w:tc>
          <w:tcPr>
            <w:tcW w:w="3678" w:type="dxa"/>
            <w:tcBorders>
              <w:bottom w:val="single" w:sz="18" w:space="0" w:color="auto"/>
            </w:tcBorders>
          </w:tcPr>
          <w:p w14:paraId="7CEC2781" w14:textId="5D4C70D3" w:rsidR="00F20830" w:rsidRPr="00D96CE0" w:rsidRDefault="00F20830" w:rsidP="00F20830">
            <w:pPr>
              <w:pStyle w:val="TextBody"/>
            </w:pPr>
          </w:p>
        </w:tc>
        <w:tc>
          <w:tcPr>
            <w:tcW w:w="277" w:type="dxa"/>
            <w:vMerge/>
            <w:tcBorders>
              <w:bottom w:val="single" w:sz="18" w:space="0" w:color="auto"/>
            </w:tcBorders>
          </w:tcPr>
          <w:p w14:paraId="0AB48CA8" w14:textId="77777777" w:rsidR="00F20830" w:rsidRPr="00D96CE0" w:rsidRDefault="00F20830" w:rsidP="00F20830"/>
        </w:tc>
        <w:tc>
          <w:tcPr>
            <w:tcW w:w="6835" w:type="dxa"/>
            <w:gridSpan w:val="4"/>
            <w:vMerge/>
            <w:tcBorders>
              <w:bottom w:val="single" w:sz="18" w:space="0" w:color="auto"/>
            </w:tcBorders>
          </w:tcPr>
          <w:p w14:paraId="021F0FE4" w14:textId="77777777" w:rsidR="00F20830" w:rsidRPr="00D96CE0" w:rsidRDefault="00F20830" w:rsidP="00F20830">
            <w:pPr>
              <w:pStyle w:val="TextBody"/>
            </w:pPr>
          </w:p>
        </w:tc>
      </w:tr>
      <w:tr w:rsidR="00F20830" w:rsidRPr="00D96CE0" w14:paraId="6FE7AA31" w14:textId="77777777" w:rsidTr="007A01D5">
        <w:trPr>
          <w:trHeight w:val="2149"/>
        </w:trPr>
        <w:tc>
          <w:tcPr>
            <w:tcW w:w="7283" w:type="dxa"/>
            <w:gridSpan w:val="3"/>
          </w:tcPr>
          <w:p w14:paraId="6EA54A0F" w14:textId="168187E1" w:rsidR="00F20830" w:rsidRPr="00D96CE0" w:rsidRDefault="00F20830" w:rsidP="00F20830">
            <w:pPr>
              <w:pStyle w:val="Titlenormal"/>
            </w:pPr>
            <w:r w:rsidRPr="00D96CE0">
              <w:t>LISTA DE VERIFICACIÓN PARA EL ESTUDIANTE</w:t>
            </w:r>
          </w:p>
          <w:p w14:paraId="7DD82217" w14:textId="2BE7D603" w:rsidR="00A17A19" w:rsidRPr="00D96CE0" w:rsidRDefault="00A17A19" w:rsidP="00DD7A38">
            <w:pPr>
              <w:pStyle w:val="ListParagraph"/>
              <w:numPr>
                <w:ilvl w:val="0"/>
                <w:numId w:val="39"/>
              </w:numPr>
            </w:pPr>
            <w:bookmarkStart w:id="0" w:name="_Hlk171495157"/>
            <w:r w:rsidRPr="00D96CE0">
              <w:t>Prepara un presupuesto para el próximo año. Si no lo has hecho antes, ahora es un excelente momento para aprender a administrar tus gastos y facturas.</w:t>
            </w:r>
          </w:p>
          <w:p w14:paraId="67A0BCE5" w14:textId="29CDC713" w:rsidR="00A17A19" w:rsidRPr="00D96CE0" w:rsidRDefault="00A17A19" w:rsidP="00DD7A38">
            <w:pPr>
              <w:pStyle w:val="ListParagraph"/>
              <w:numPr>
                <w:ilvl w:val="0"/>
                <w:numId w:val="39"/>
              </w:numPr>
            </w:pPr>
            <w:r w:rsidRPr="00D96CE0">
              <w:t>¡GRADUACIÓN! Mantén la cabeza en alto y celebra tu logro. Sin embargo, puedes continuar tu educación de preparatoria si no obtuviste tu diploma. Aunque te gradúes más tarde, todavía puedes ser elegible para la College Bound Scholarship. (Esto NO incluye los GED [General Education Diploma, Diploma de Educación General]).</w:t>
            </w:r>
          </w:p>
          <w:p w14:paraId="1C7B96CD" w14:textId="77777777" w:rsidR="00A17A19" w:rsidRPr="00D96CE0" w:rsidRDefault="00A17A19" w:rsidP="00DD7A38">
            <w:pPr>
              <w:pStyle w:val="ListParagraph"/>
              <w:numPr>
                <w:ilvl w:val="0"/>
                <w:numId w:val="39"/>
              </w:numPr>
            </w:pPr>
            <w:r w:rsidRPr="00D96CE0">
              <w:t>¿Planeas vivir en el campus? ¡Es hora de empezar a empacar! Pon atención a los consejos de tu universidad sobre qué llevar. No tires el dinero en artículos que no vas a necesitar o para los que no tendrás espacio.</w:t>
            </w:r>
          </w:p>
          <w:p w14:paraId="4C5508BE" w14:textId="77777777" w:rsidR="00A17A19" w:rsidRPr="00D96CE0" w:rsidRDefault="00A17A19" w:rsidP="00DD7A38">
            <w:pPr>
              <w:pStyle w:val="ListParagraph"/>
              <w:numPr>
                <w:ilvl w:val="0"/>
                <w:numId w:val="39"/>
              </w:numPr>
            </w:pPr>
            <w:r w:rsidRPr="00D96CE0">
              <w:t xml:space="preserve">Asiste a la Orientación para estudiantes nuevos o de primer año para conocer los servicios académicos y estudiantiles que te ayudarán a lo largo de tu carrera universitaria. </w:t>
            </w:r>
          </w:p>
          <w:bookmarkEnd w:id="0"/>
          <w:p w14:paraId="19CD1360" w14:textId="3D191C97" w:rsidR="00F20830" w:rsidRPr="00D96CE0" w:rsidRDefault="00F20830" w:rsidP="00A17A19">
            <w:pPr>
              <w:spacing w:after="0" w:line="520" w:lineRule="exact"/>
            </w:pPr>
          </w:p>
        </w:tc>
        <w:tc>
          <w:tcPr>
            <w:tcW w:w="270" w:type="dxa"/>
            <w:vMerge w:val="restart"/>
            <w:tcBorders>
              <w:right w:val="single" w:sz="18" w:space="0" w:color="auto"/>
            </w:tcBorders>
          </w:tcPr>
          <w:p w14:paraId="6B6D195F" w14:textId="77777777" w:rsidR="00F20830" w:rsidRPr="00D96CE0" w:rsidRDefault="00F20830" w:rsidP="00F20830">
            <w:pPr>
              <w:rPr>
                <w:sz w:val="10"/>
                <w:szCs w:val="10"/>
              </w:rPr>
            </w:pPr>
          </w:p>
        </w:tc>
        <w:tc>
          <w:tcPr>
            <w:tcW w:w="236" w:type="dxa"/>
            <w:vMerge w:val="restart"/>
            <w:tcBorders>
              <w:left w:val="single" w:sz="18" w:space="0" w:color="auto"/>
            </w:tcBorders>
          </w:tcPr>
          <w:p w14:paraId="53734700" w14:textId="77777777" w:rsidR="00F20830" w:rsidRPr="00D96CE0" w:rsidRDefault="00F20830" w:rsidP="00807C5E"/>
        </w:tc>
        <w:tc>
          <w:tcPr>
            <w:tcW w:w="3001" w:type="dxa"/>
            <w:vMerge w:val="restart"/>
          </w:tcPr>
          <w:p w14:paraId="6EEFD6F7" w14:textId="1D490CDE" w:rsidR="00F20830" w:rsidRPr="00D96CE0" w:rsidRDefault="00F20830" w:rsidP="00DF05BE">
            <w:pPr>
              <w:pStyle w:val="Titlenormal"/>
            </w:pPr>
            <w:r w:rsidRPr="00D96CE0">
              <w:t>MITOS Y REALIDADES</w:t>
            </w:r>
          </w:p>
          <w:p w14:paraId="08DDD78C" w14:textId="71251D7A" w:rsidR="00807C5E" w:rsidRPr="00D96CE0" w:rsidRDefault="00807C5E" w:rsidP="00807C5E">
            <w:r w:rsidRPr="00D96CE0">
              <w:rPr>
                <w:b/>
              </w:rPr>
              <w:t>MITO:</w:t>
            </w:r>
            <w:r w:rsidRPr="00D96CE0">
              <w:t xml:space="preserve"> Si los estudiantes tienen dificultades con la universidad, </w:t>
            </w:r>
            <w:r w:rsidR="00315ACB">
              <w:br/>
            </w:r>
            <w:r w:rsidRPr="00D96CE0">
              <w:t>es que no pertenecen a ella.</w:t>
            </w:r>
          </w:p>
          <w:p w14:paraId="1A91B6C2" w14:textId="1ED795C2" w:rsidR="00807C5E" w:rsidRPr="00D96CE0" w:rsidRDefault="00807C5E" w:rsidP="00DF05BE">
            <w:pPr>
              <w:spacing w:before="240"/>
            </w:pPr>
            <w:r w:rsidRPr="00D96CE0">
              <w:rPr>
                <w:b/>
              </w:rPr>
              <w:t>REALIDAD:</w:t>
            </w:r>
            <w:r w:rsidRPr="00D96CE0">
              <w:t xml:space="preserve"> Todos experimentan dificultades. El primer año en la universidad puede ser muy difícil. La clave está en encontrar apoyo, pedir ayuda y abogar por las propias necesidades.</w:t>
            </w:r>
          </w:p>
          <w:p w14:paraId="660E7D10" w14:textId="37E8C2C3" w:rsidR="00807C5E" w:rsidRPr="00D96CE0" w:rsidRDefault="00807C5E" w:rsidP="00807C5E">
            <w:r w:rsidRPr="00D96CE0">
              <w:t xml:space="preserve">Si los estudiantes están pasando por un mal momento emocional, deben hablar con un consejero de salud mental de su universidad. Estos consejeros pueden ayudar si los estudiantes se sienten solos, deprimidos o tienen otros problemas personales. La mayoría de las universidades ofrecen sesiones de terapia gratuitas a través del centro de salud </w:t>
            </w:r>
            <w:r w:rsidR="00315ACB">
              <w:br/>
            </w:r>
            <w:r w:rsidRPr="00D96CE0">
              <w:t>del campus.</w:t>
            </w:r>
          </w:p>
          <w:p w14:paraId="4A4B397C" w14:textId="673E1EAC" w:rsidR="00807C5E" w:rsidRPr="00D96CE0" w:rsidRDefault="00807C5E" w:rsidP="00807C5E">
            <w:r w:rsidRPr="00D96CE0">
              <w:t xml:space="preserve">Si los estudiantes tienen problemas con sus clases, deben averiguar si su universidad tiene un centro de tutoría o escritura (y, para los estudiantes elegibles, también servicios para personas </w:t>
            </w:r>
            <w:r w:rsidR="00315ACB">
              <w:br/>
            </w:r>
            <w:r w:rsidRPr="00D96CE0">
              <w:t>con discapacidad).</w:t>
            </w:r>
          </w:p>
          <w:p w14:paraId="42E92F33" w14:textId="77777777" w:rsidR="00807C5E" w:rsidRPr="00D96CE0" w:rsidRDefault="00807C5E" w:rsidP="00807C5E">
            <w:r w:rsidRPr="00D96CE0">
              <w:t>Recuérdele a su hijo lo siguiente:</w:t>
            </w:r>
          </w:p>
          <w:p w14:paraId="06C4999D" w14:textId="4124F536" w:rsidR="00807C5E" w:rsidRPr="00D96CE0" w:rsidRDefault="00807C5E" w:rsidP="00807C5E">
            <w:r w:rsidRPr="00D96CE0">
              <w:t>•</w:t>
            </w:r>
            <w:r w:rsidRPr="00D96CE0">
              <w:tab/>
              <w:t>Es esencial pedir ayuda.</w:t>
            </w:r>
          </w:p>
          <w:p w14:paraId="3F45C698" w14:textId="77777777" w:rsidR="00807C5E" w:rsidRPr="00D96CE0" w:rsidRDefault="00807C5E" w:rsidP="00807C5E">
            <w:r w:rsidRPr="00D96CE0">
              <w:t>•</w:t>
            </w:r>
            <w:r w:rsidRPr="00D96CE0">
              <w:tab/>
              <w:t>En la universidad, cada quien debe abogar por sí mismo.</w:t>
            </w:r>
          </w:p>
          <w:p w14:paraId="72E095A6" w14:textId="25464EF6" w:rsidR="00807C5E" w:rsidRPr="00D96CE0" w:rsidRDefault="00807C5E" w:rsidP="00807C5E">
            <w:r w:rsidRPr="00D96CE0">
              <w:t>•</w:t>
            </w:r>
            <w:r w:rsidRPr="00D96CE0">
              <w:tab/>
              <w:t>Todos enfrentan retos.</w:t>
            </w:r>
          </w:p>
          <w:p w14:paraId="1EABE07D" w14:textId="53A2FA76" w:rsidR="00F20830" w:rsidRPr="00D96CE0" w:rsidRDefault="00807C5E" w:rsidP="00807C5E">
            <w:r w:rsidRPr="00D96CE0">
              <w:t>•</w:t>
            </w:r>
            <w:r w:rsidRPr="00D96CE0">
              <w:tab/>
              <w:t>Será más fácil si persiste y consigue el apoyo que necesita.</w:t>
            </w:r>
          </w:p>
          <w:p w14:paraId="08779DA6" w14:textId="2E6F7070" w:rsidR="00162916" w:rsidRPr="00D96CE0" w:rsidRDefault="00315ACB" w:rsidP="00807C5E">
            <w:r w:rsidRPr="00D96CE0">
              <w:rPr>
                <w:noProof/>
              </w:rPr>
              <w:drawing>
                <wp:anchor distT="0" distB="0" distL="114300" distR="114300" simplePos="0" relativeHeight="251658241" behindDoc="0" locked="0" layoutInCell="1" allowOverlap="1" wp14:anchorId="49017C76" wp14:editId="28EB558F">
                  <wp:simplePos x="0" y="0"/>
                  <wp:positionH relativeFrom="margin">
                    <wp:posOffset>461645</wp:posOffset>
                  </wp:positionH>
                  <wp:positionV relativeFrom="margin">
                    <wp:posOffset>6041455</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F20830" w:rsidRPr="00D96CE0" w14:paraId="189CF860" w14:textId="77777777" w:rsidTr="00035894">
        <w:trPr>
          <w:trHeight w:val="67"/>
        </w:trPr>
        <w:tc>
          <w:tcPr>
            <w:tcW w:w="3678" w:type="dxa"/>
          </w:tcPr>
          <w:p w14:paraId="518A0B8D" w14:textId="20370C86" w:rsidR="00F20830" w:rsidRPr="00D96CE0" w:rsidRDefault="00F20830" w:rsidP="0032348C">
            <w:pPr>
              <w:pStyle w:val="TextBody"/>
              <w:spacing w:after="0"/>
            </w:pPr>
          </w:p>
        </w:tc>
        <w:tc>
          <w:tcPr>
            <w:tcW w:w="277" w:type="dxa"/>
          </w:tcPr>
          <w:p w14:paraId="37EA0407" w14:textId="77777777" w:rsidR="00F20830" w:rsidRPr="00D96CE0" w:rsidRDefault="00F20830" w:rsidP="00F20830">
            <w:pPr>
              <w:pStyle w:val="TextBody"/>
            </w:pPr>
          </w:p>
        </w:tc>
        <w:tc>
          <w:tcPr>
            <w:tcW w:w="3328" w:type="dxa"/>
          </w:tcPr>
          <w:p w14:paraId="27A95849" w14:textId="072D1BF7" w:rsidR="00F20830" w:rsidRPr="00D96CE0" w:rsidRDefault="00F20830" w:rsidP="00F20830">
            <w:pPr>
              <w:pStyle w:val="TextBody"/>
            </w:pPr>
          </w:p>
        </w:tc>
        <w:tc>
          <w:tcPr>
            <w:tcW w:w="270" w:type="dxa"/>
            <w:vMerge/>
            <w:tcBorders>
              <w:right w:val="single" w:sz="18" w:space="0" w:color="auto"/>
            </w:tcBorders>
          </w:tcPr>
          <w:p w14:paraId="26ACB6E5" w14:textId="77777777" w:rsidR="00F20830" w:rsidRPr="00D96CE0" w:rsidRDefault="00F20830" w:rsidP="00F20830">
            <w:pPr>
              <w:pStyle w:val="TextBody"/>
            </w:pPr>
          </w:p>
        </w:tc>
        <w:tc>
          <w:tcPr>
            <w:tcW w:w="236" w:type="dxa"/>
            <w:vMerge/>
            <w:tcBorders>
              <w:left w:val="single" w:sz="18" w:space="0" w:color="auto"/>
            </w:tcBorders>
          </w:tcPr>
          <w:p w14:paraId="4AF148E1" w14:textId="77777777" w:rsidR="00F20830" w:rsidRPr="00D96CE0" w:rsidRDefault="00F20830" w:rsidP="00F20830">
            <w:pPr>
              <w:pStyle w:val="TextBody"/>
            </w:pPr>
          </w:p>
        </w:tc>
        <w:tc>
          <w:tcPr>
            <w:tcW w:w="3001" w:type="dxa"/>
            <w:vMerge/>
          </w:tcPr>
          <w:p w14:paraId="2585C9D7" w14:textId="77777777" w:rsidR="00F20830" w:rsidRPr="00D96CE0" w:rsidRDefault="00F20830" w:rsidP="00F20830">
            <w:pPr>
              <w:pStyle w:val="TextBody"/>
            </w:pPr>
          </w:p>
        </w:tc>
      </w:tr>
      <w:tr w:rsidR="00F20830" w:rsidRPr="00D96CE0" w14:paraId="5FF5C757" w14:textId="77777777" w:rsidTr="007A01D5">
        <w:trPr>
          <w:trHeight w:val="727"/>
        </w:trPr>
        <w:tc>
          <w:tcPr>
            <w:tcW w:w="7283" w:type="dxa"/>
            <w:gridSpan w:val="3"/>
          </w:tcPr>
          <w:p w14:paraId="4D7751F6" w14:textId="3E84CE55" w:rsidR="00F20830" w:rsidRPr="00D96CE0" w:rsidRDefault="00F20830" w:rsidP="0032348C">
            <w:pPr>
              <w:pStyle w:val="Titlenormal"/>
              <w:spacing w:before="0"/>
            </w:pPr>
            <w:r w:rsidRPr="00D96CE0">
              <w:t xml:space="preserve">LISTA DE VERIFICACIÓN PARA LA FAMILIA  </w:t>
            </w:r>
          </w:p>
          <w:p w14:paraId="7338C314" w14:textId="77777777" w:rsidR="00A17A19" w:rsidRPr="00D96CE0" w:rsidRDefault="00A17A19" w:rsidP="00DD7A38">
            <w:pPr>
              <w:pStyle w:val="ListParagraph"/>
              <w:numPr>
                <w:ilvl w:val="0"/>
                <w:numId w:val="38"/>
              </w:numPr>
            </w:pPr>
            <w:bookmarkStart w:id="1" w:name="_Hlk171495173"/>
            <w:r w:rsidRPr="00D96CE0">
              <w:t xml:space="preserve">Ayuden a su hijo adolescente a preparar un presupuesto para el próximo año. </w:t>
            </w:r>
          </w:p>
          <w:p w14:paraId="63A0D052" w14:textId="0F234094" w:rsidR="00A17A19" w:rsidRPr="00D96CE0" w:rsidRDefault="00A17A19" w:rsidP="00DD7A38">
            <w:pPr>
              <w:pStyle w:val="ListParagraph"/>
              <w:numPr>
                <w:ilvl w:val="0"/>
                <w:numId w:val="38"/>
              </w:numPr>
            </w:pPr>
            <w:r w:rsidRPr="00D96CE0">
              <w:t xml:space="preserve">Si su hijo va a vivir en el campus, es importante que ponga atención a los consejos de la universidad sobre qué llevar. </w:t>
            </w:r>
          </w:p>
          <w:p w14:paraId="2B64D5F2" w14:textId="5474013D" w:rsidR="00A17A19" w:rsidRPr="00D96CE0" w:rsidRDefault="00A17A19" w:rsidP="00DD7A38">
            <w:pPr>
              <w:pStyle w:val="ListParagraph"/>
              <w:numPr>
                <w:ilvl w:val="0"/>
                <w:numId w:val="38"/>
              </w:numPr>
            </w:pPr>
            <w:r w:rsidRPr="00D96CE0">
              <w:t xml:space="preserve">Asegúrense de que su hijo asista a la Orientación para estudiantes nuevos y de primer año. Si está disponible, animen a su hijo a participar en el programa “First Year Experience”. Si los padres están invitados, ustedes también deberían asistir. </w:t>
            </w:r>
          </w:p>
          <w:p w14:paraId="70988759" w14:textId="1D661CFE" w:rsidR="00F20830" w:rsidRPr="00D96CE0" w:rsidRDefault="00A17A19" w:rsidP="00DD7A38">
            <w:pPr>
              <w:pStyle w:val="ListParagraph"/>
              <w:numPr>
                <w:ilvl w:val="0"/>
                <w:numId w:val="38"/>
              </w:numPr>
            </w:pPr>
            <w:r w:rsidRPr="00D96CE0">
              <w:t>Animen a su hijo a averiguar qué recursos ofrece la universidad para ayudar a los estudiantes a hacer la transición a la universidad y obtener apoyo personal, de salud, financiero y académico. Por ejemplo, ¿la universidad tiene un programa TRiO SSS (TRiO Student Support Services, Servicios de Apoyo Estudiantil TRiO)?</w:t>
            </w:r>
            <w:bookmarkEnd w:id="1"/>
          </w:p>
        </w:tc>
        <w:tc>
          <w:tcPr>
            <w:tcW w:w="270" w:type="dxa"/>
            <w:vMerge/>
            <w:tcBorders>
              <w:right w:val="single" w:sz="18" w:space="0" w:color="auto"/>
            </w:tcBorders>
          </w:tcPr>
          <w:p w14:paraId="268D509A" w14:textId="77777777" w:rsidR="00F20830" w:rsidRPr="00D96CE0" w:rsidRDefault="00F20830" w:rsidP="00F20830">
            <w:pPr>
              <w:rPr>
                <w:sz w:val="10"/>
                <w:szCs w:val="10"/>
              </w:rPr>
            </w:pPr>
          </w:p>
        </w:tc>
        <w:tc>
          <w:tcPr>
            <w:tcW w:w="236" w:type="dxa"/>
            <w:vMerge/>
            <w:tcBorders>
              <w:left w:val="single" w:sz="18" w:space="0" w:color="auto"/>
            </w:tcBorders>
          </w:tcPr>
          <w:p w14:paraId="1659F3BF" w14:textId="77777777" w:rsidR="00F20830" w:rsidRPr="00D96CE0" w:rsidRDefault="00F20830" w:rsidP="00F20830">
            <w:pPr>
              <w:rPr>
                <w:sz w:val="10"/>
                <w:szCs w:val="10"/>
              </w:rPr>
            </w:pPr>
          </w:p>
        </w:tc>
        <w:tc>
          <w:tcPr>
            <w:tcW w:w="3001" w:type="dxa"/>
            <w:vMerge/>
          </w:tcPr>
          <w:p w14:paraId="13E8AB06" w14:textId="77777777" w:rsidR="00F20830" w:rsidRPr="00D96CE0" w:rsidRDefault="00F20830" w:rsidP="00F20830">
            <w:pPr>
              <w:pStyle w:val="TextBody"/>
            </w:pPr>
          </w:p>
        </w:tc>
      </w:tr>
    </w:tbl>
    <w:p w14:paraId="4229C740" w14:textId="43CF2146" w:rsidR="00A40213" w:rsidRPr="00D96CE0" w:rsidRDefault="00A40213" w:rsidP="00F263B8"/>
    <w:sectPr w:rsidR="00A40213" w:rsidRPr="00D96CE0"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D777" w14:textId="77777777" w:rsidR="00FE7BC8" w:rsidRDefault="00FE7BC8" w:rsidP="001D6100">
      <w:r>
        <w:separator/>
      </w:r>
    </w:p>
  </w:endnote>
  <w:endnote w:type="continuationSeparator" w:id="0">
    <w:p w14:paraId="452FAD62" w14:textId="77777777" w:rsidR="00FE7BC8" w:rsidRDefault="00FE7BC8" w:rsidP="001D6100">
      <w:r>
        <w:continuationSeparator/>
      </w:r>
    </w:p>
  </w:endnote>
  <w:endnote w:type="continuationNotice" w:id="1">
    <w:p w14:paraId="220F8110" w14:textId="77777777" w:rsidR="00FE7BC8" w:rsidRDefault="00FE7B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A9DA" w14:textId="77777777" w:rsidR="00FE7BC8" w:rsidRDefault="00FE7BC8" w:rsidP="001D6100">
      <w:r>
        <w:separator/>
      </w:r>
    </w:p>
  </w:footnote>
  <w:footnote w:type="continuationSeparator" w:id="0">
    <w:p w14:paraId="2AE0BE21" w14:textId="77777777" w:rsidR="00FE7BC8" w:rsidRDefault="00FE7BC8" w:rsidP="001D6100">
      <w:r>
        <w:continuationSeparator/>
      </w:r>
    </w:p>
  </w:footnote>
  <w:footnote w:type="continuationNotice" w:id="1">
    <w:p w14:paraId="68563F2D" w14:textId="77777777" w:rsidR="00FE7BC8" w:rsidRDefault="00FE7BC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AD"/>
    <w:multiLevelType w:val="hybridMultilevel"/>
    <w:tmpl w:val="D062B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CC51838"/>
    <w:multiLevelType w:val="hybridMultilevel"/>
    <w:tmpl w:val="A7D63B7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3C80A22"/>
    <w:multiLevelType w:val="hybridMultilevel"/>
    <w:tmpl w:val="53E4AF4A"/>
    <w:lvl w:ilvl="0" w:tplc="344A4BD4">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E8"/>
    <w:multiLevelType w:val="hybridMultilevel"/>
    <w:tmpl w:val="AD32FD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6E31E9"/>
    <w:multiLevelType w:val="hybridMultilevel"/>
    <w:tmpl w:val="04FC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B0BB6"/>
    <w:multiLevelType w:val="hybridMultilevel"/>
    <w:tmpl w:val="08B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1DA32912"/>
    <w:multiLevelType w:val="hybridMultilevel"/>
    <w:tmpl w:val="8EA8265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D695A"/>
    <w:multiLevelType w:val="hybridMultilevel"/>
    <w:tmpl w:val="1F44F6BA"/>
    <w:lvl w:ilvl="0" w:tplc="51D00278">
      <w:start w:val="1"/>
      <w:numFmt w:val="decimal"/>
      <w:lvlText w:val="%1."/>
      <w:lvlJc w:val="left"/>
      <w:pPr>
        <w:ind w:left="723" w:hanging="703"/>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251E1F2E"/>
    <w:multiLevelType w:val="hybridMultilevel"/>
    <w:tmpl w:val="A406F32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73A2E"/>
    <w:multiLevelType w:val="hybridMultilevel"/>
    <w:tmpl w:val="68AE438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1"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47848"/>
    <w:multiLevelType w:val="hybridMultilevel"/>
    <w:tmpl w:val="88D0371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ED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3D71619D"/>
    <w:multiLevelType w:val="hybridMultilevel"/>
    <w:tmpl w:val="3B92DB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57F06"/>
    <w:multiLevelType w:val="hybridMultilevel"/>
    <w:tmpl w:val="DD1E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B2204"/>
    <w:multiLevelType w:val="hybridMultilevel"/>
    <w:tmpl w:val="62F23272"/>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2B1E"/>
    <w:multiLevelType w:val="hybridMultilevel"/>
    <w:tmpl w:val="A4968F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46AC0A50"/>
    <w:multiLevelType w:val="hybridMultilevel"/>
    <w:tmpl w:val="91480FA8"/>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53AC9"/>
    <w:multiLevelType w:val="hybridMultilevel"/>
    <w:tmpl w:val="C43A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E7122"/>
    <w:multiLevelType w:val="hybridMultilevel"/>
    <w:tmpl w:val="C5968D5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6" w15:restartNumberingAfterBreak="0">
    <w:nsid w:val="4DD64608"/>
    <w:multiLevelType w:val="hybridMultilevel"/>
    <w:tmpl w:val="D1EA7CE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66807"/>
    <w:multiLevelType w:val="hybridMultilevel"/>
    <w:tmpl w:val="4B58DF7A"/>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8"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B4A70"/>
    <w:multiLevelType w:val="hybridMultilevel"/>
    <w:tmpl w:val="EA00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F4C21"/>
    <w:multiLevelType w:val="hybridMultilevel"/>
    <w:tmpl w:val="C0B225E6"/>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27F2E"/>
    <w:multiLevelType w:val="hybridMultilevel"/>
    <w:tmpl w:val="D306077C"/>
    <w:lvl w:ilvl="0" w:tplc="3EC22E0C">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8C122C"/>
    <w:multiLevelType w:val="hybridMultilevel"/>
    <w:tmpl w:val="9588E88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1A"/>
    <w:multiLevelType w:val="hybridMultilevel"/>
    <w:tmpl w:val="81B0B13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462D9"/>
    <w:multiLevelType w:val="hybridMultilevel"/>
    <w:tmpl w:val="DF14876A"/>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15:restartNumberingAfterBreak="0">
    <w:nsid w:val="798943B4"/>
    <w:multiLevelType w:val="hybridMultilevel"/>
    <w:tmpl w:val="45AC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8"/>
  </w:num>
  <w:num w:numId="4">
    <w:abstractNumId w:val="37"/>
  </w:num>
  <w:num w:numId="5">
    <w:abstractNumId w:val="17"/>
  </w:num>
  <w:num w:numId="6">
    <w:abstractNumId w:val="6"/>
  </w:num>
  <w:num w:numId="7">
    <w:abstractNumId w:val="14"/>
  </w:num>
  <w:num w:numId="8">
    <w:abstractNumId w:val="35"/>
  </w:num>
  <w:num w:numId="9">
    <w:abstractNumId w:val="20"/>
  </w:num>
  <w:num w:numId="10">
    <w:abstractNumId w:val="38"/>
  </w:num>
  <w:num w:numId="11">
    <w:abstractNumId w:val="21"/>
  </w:num>
  <w:num w:numId="12">
    <w:abstractNumId w:val="36"/>
  </w:num>
  <w:num w:numId="13">
    <w:abstractNumId w:val="1"/>
  </w:num>
  <w:num w:numId="14">
    <w:abstractNumId w:val="8"/>
  </w:num>
  <w:num w:numId="15">
    <w:abstractNumId w:val="25"/>
  </w:num>
  <w:num w:numId="16">
    <w:abstractNumId w:val="29"/>
  </w:num>
  <w:num w:numId="17">
    <w:abstractNumId w:val="5"/>
  </w:num>
  <w:num w:numId="18">
    <w:abstractNumId w:val="24"/>
  </w:num>
  <w:num w:numId="19">
    <w:abstractNumId w:val="12"/>
  </w:num>
  <w:num w:numId="20">
    <w:abstractNumId w:val="4"/>
  </w:num>
  <w:num w:numId="21">
    <w:abstractNumId w:val="34"/>
  </w:num>
  <w:num w:numId="22">
    <w:abstractNumId w:val="33"/>
  </w:num>
  <w:num w:numId="23">
    <w:abstractNumId w:val="13"/>
  </w:num>
  <w:num w:numId="24">
    <w:abstractNumId w:val="22"/>
  </w:num>
  <w:num w:numId="25">
    <w:abstractNumId w:val="27"/>
  </w:num>
  <w:num w:numId="26">
    <w:abstractNumId w:val="15"/>
  </w:num>
  <w:num w:numId="27">
    <w:abstractNumId w:val="0"/>
  </w:num>
  <w:num w:numId="28">
    <w:abstractNumId w:val="16"/>
  </w:num>
  <w:num w:numId="29">
    <w:abstractNumId w:val="26"/>
  </w:num>
  <w:num w:numId="30">
    <w:abstractNumId w:val="3"/>
  </w:num>
  <w:num w:numId="31">
    <w:abstractNumId w:val="10"/>
  </w:num>
  <w:num w:numId="32">
    <w:abstractNumId w:val="18"/>
  </w:num>
  <w:num w:numId="33">
    <w:abstractNumId w:val="7"/>
  </w:num>
  <w:num w:numId="34">
    <w:abstractNumId w:val="2"/>
  </w:num>
  <w:num w:numId="35">
    <w:abstractNumId w:val="30"/>
  </w:num>
  <w:num w:numId="36">
    <w:abstractNumId w:val="23"/>
  </w:num>
  <w:num w:numId="37">
    <w:abstractNumId w:val="31"/>
  </w:num>
  <w:num w:numId="38">
    <w:abstractNumId w:val="3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83D87"/>
    <w:rsid w:val="00093394"/>
    <w:rsid w:val="000A06A1"/>
    <w:rsid w:val="000B7BB9"/>
    <w:rsid w:val="0013534A"/>
    <w:rsid w:val="00162916"/>
    <w:rsid w:val="00173094"/>
    <w:rsid w:val="001822A9"/>
    <w:rsid w:val="001A1B0F"/>
    <w:rsid w:val="001C2F36"/>
    <w:rsid w:val="001C3F0B"/>
    <w:rsid w:val="001C5DB1"/>
    <w:rsid w:val="001D6100"/>
    <w:rsid w:val="001E27D9"/>
    <w:rsid w:val="00210C05"/>
    <w:rsid w:val="00221E59"/>
    <w:rsid w:val="00227E71"/>
    <w:rsid w:val="00231497"/>
    <w:rsid w:val="00235CED"/>
    <w:rsid w:val="00242CD1"/>
    <w:rsid w:val="00263BF4"/>
    <w:rsid w:val="00274D60"/>
    <w:rsid w:val="00282446"/>
    <w:rsid w:val="002941DC"/>
    <w:rsid w:val="002C4356"/>
    <w:rsid w:val="002D78DB"/>
    <w:rsid w:val="00302C98"/>
    <w:rsid w:val="00304A4C"/>
    <w:rsid w:val="00315984"/>
    <w:rsid w:val="00315ACB"/>
    <w:rsid w:val="0032348C"/>
    <w:rsid w:val="0034461A"/>
    <w:rsid w:val="003766A2"/>
    <w:rsid w:val="003767BD"/>
    <w:rsid w:val="003924B1"/>
    <w:rsid w:val="00397474"/>
    <w:rsid w:val="00397BC4"/>
    <w:rsid w:val="003C7B1E"/>
    <w:rsid w:val="003D365D"/>
    <w:rsid w:val="003E115A"/>
    <w:rsid w:val="00405FB7"/>
    <w:rsid w:val="00412376"/>
    <w:rsid w:val="00414D62"/>
    <w:rsid w:val="00414D6A"/>
    <w:rsid w:val="00416071"/>
    <w:rsid w:val="00416435"/>
    <w:rsid w:val="00434553"/>
    <w:rsid w:val="0048471B"/>
    <w:rsid w:val="004B1CE7"/>
    <w:rsid w:val="004B643D"/>
    <w:rsid w:val="004B6895"/>
    <w:rsid w:val="004C3340"/>
    <w:rsid w:val="004D35FE"/>
    <w:rsid w:val="004D4B2A"/>
    <w:rsid w:val="00513C62"/>
    <w:rsid w:val="00521D16"/>
    <w:rsid w:val="00524895"/>
    <w:rsid w:val="00526A1D"/>
    <w:rsid w:val="00542638"/>
    <w:rsid w:val="00545843"/>
    <w:rsid w:val="00551FBC"/>
    <w:rsid w:val="005728F5"/>
    <w:rsid w:val="0059272B"/>
    <w:rsid w:val="005A7A4F"/>
    <w:rsid w:val="005D31A0"/>
    <w:rsid w:val="005D348F"/>
    <w:rsid w:val="005E7FDA"/>
    <w:rsid w:val="006059A9"/>
    <w:rsid w:val="0060774D"/>
    <w:rsid w:val="00615348"/>
    <w:rsid w:val="00620321"/>
    <w:rsid w:val="00645773"/>
    <w:rsid w:val="00654229"/>
    <w:rsid w:val="006631A8"/>
    <w:rsid w:val="00681F53"/>
    <w:rsid w:val="00685DBB"/>
    <w:rsid w:val="00692B40"/>
    <w:rsid w:val="006A6D66"/>
    <w:rsid w:val="006B498E"/>
    <w:rsid w:val="006C30F5"/>
    <w:rsid w:val="006C5F05"/>
    <w:rsid w:val="006C60E6"/>
    <w:rsid w:val="006F51A2"/>
    <w:rsid w:val="00703301"/>
    <w:rsid w:val="007118ED"/>
    <w:rsid w:val="00721089"/>
    <w:rsid w:val="00735F99"/>
    <w:rsid w:val="007369B0"/>
    <w:rsid w:val="00763F6E"/>
    <w:rsid w:val="0078163A"/>
    <w:rsid w:val="00793BD6"/>
    <w:rsid w:val="00794584"/>
    <w:rsid w:val="007A01D5"/>
    <w:rsid w:val="007D2AC9"/>
    <w:rsid w:val="00807C5E"/>
    <w:rsid w:val="00832D90"/>
    <w:rsid w:val="0086583D"/>
    <w:rsid w:val="0087169C"/>
    <w:rsid w:val="0088584D"/>
    <w:rsid w:val="008D4894"/>
    <w:rsid w:val="008D6DD6"/>
    <w:rsid w:val="008E1844"/>
    <w:rsid w:val="008E57BD"/>
    <w:rsid w:val="00914CE6"/>
    <w:rsid w:val="009357EB"/>
    <w:rsid w:val="009752A7"/>
    <w:rsid w:val="00976167"/>
    <w:rsid w:val="009913C5"/>
    <w:rsid w:val="009A219F"/>
    <w:rsid w:val="009B6996"/>
    <w:rsid w:val="009D422B"/>
    <w:rsid w:val="009D6EE0"/>
    <w:rsid w:val="009E509A"/>
    <w:rsid w:val="00A17A19"/>
    <w:rsid w:val="00A2081B"/>
    <w:rsid w:val="00A40213"/>
    <w:rsid w:val="00A55C9A"/>
    <w:rsid w:val="00A74528"/>
    <w:rsid w:val="00A75BDB"/>
    <w:rsid w:val="00AA5A4E"/>
    <w:rsid w:val="00AA69D0"/>
    <w:rsid w:val="00AB137A"/>
    <w:rsid w:val="00AE581C"/>
    <w:rsid w:val="00AF2B0A"/>
    <w:rsid w:val="00AF5233"/>
    <w:rsid w:val="00B00C2B"/>
    <w:rsid w:val="00B056FD"/>
    <w:rsid w:val="00B20006"/>
    <w:rsid w:val="00B27754"/>
    <w:rsid w:val="00B35EDB"/>
    <w:rsid w:val="00B36600"/>
    <w:rsid w:val="00B5429C"/>
    <w:rsid w:val="00B7341E"/>
    <w:rsid w:val="00BC03E2"/>
    <w:rsid w:val="00BD5E53"/>
    <w:rsid w:val="00BF1870"/>
    <w:rsid w:val="00C37449"/>
    <w:rsid w:val="00CD05DA"/>
    <w:rsid w:val="00CD5E35"/>
    <w:rsid w:val="00CF03F0"/>
    <w:rsid w:val="00D22CF9"/>
    <w:rsid w:val="00D305C1"/>
    <w:rsid w:val="00D46CD2"/>
    <w:rsid w:val="00D60D51"/>
    <w:rsid w:val="00D70B4E"/>
    <w:rsid w:val="00D96CE0"/>
    <w:rsid w:val="00DD79B7"/>
    <w:rsid w:val="00DD7A38"/>
    <w:rsid w:val="00DF05BE"/>
    <w:rsid w:val="00DF4B6A"/>
    <w:rsid w:val="00E041CE"/>
    <w:rsid w:val="00E12655"/>
    <w:rsid w:val="00E266E5"/>
    <w:rsid w:val="00E2788F"/>
    <w:rsid w:val="00E351BF"/>
    <w:rsid w:val="00E52F76"/>
    <w:rsid w:val="00E75770"/>
    <w:rsid w:val="00E81FD1"/>
    <w:rsid w:val="00E979F7"/>
    <w:rsid w:val="00EA4A7E"/>
    <w:rsid w:val="00EB0563"/>
    <w:rsid w:val="00EE662D"/>
    <w:rsid w:val="00EE6910"/>
    <w:rsid w:val="00F20830"/>
    <w:rsid w:val="00F263B8"/>
    <w:rsid w:val="00FD6823"/>
    <w:rsid w:val="00FE1655"/>
    <w:rsid w:val="00FE7BC8"/>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6F51A2"/>
    <w:pPr>
      <w:widowControl w:val="0"/>
      <w:autoSpaceDE w:val="0"/>
      <w:autoSpaceDN w:val="0"/>
      <w:spacing w:before="7" w:after="240"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6F51A2"/>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uiPriority w:val="9"/>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DD7A38"/>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Strong">
    <w:name w:val="Strong"/>
    <w:basedOn w:val="DefaultParagraphFont"/>
    <w:uiPriority w:val="22"/>
    <w:qFormat/>
    <w:rsid w:val="00551FBC"/>
    <w:rPr>
      <w:b/>
      <w:bCs/>
    </w:rPr>
  </w:style>
  <w:style w:type="character" w:styleId="FollowedHyperlink">
    <w:name w:val="FollowedHyperlink"/>
    <w:basedOn w:val="DefaultParagraphFont"/>
    <w:uiPriority w:val="99"/>
    <w:semiHidden/>
    <w:rsid w:val="00521D16"/>
    <w:rPr>
      <w:color w:val="B26B02" w:themeColor="followedHyperlink"/>
      <w:u w:val="single"/>
    </w:rPr>
  </w:style>
  <w:style w:type="paragraph" w:customStyle="1" w:styleId="Default">
    <w:name w:val="Default"/>
    <w:rsid w:val="0059272B"/>
    <w:pPr>
      <w:autoSpaceDE w:val="0"/>
      <w:autoSpaceDN w:val="0"/>
      <w:adjustRightInd w:val="0"/>
      <w:spacing w:after="0"/>
    </w:pPr>
    <w:rPr>
      <w:rFonts w:ascii="Tw Cen MT" w:hAnsi="Tw Cen MT" w:cs="Tw Cen MT"/>
      <w:color w:val="000000"/>
    </w:rPr>
  </w:style>
  <w:style w:type="character" w:customStyle="1" w:styleId="A14">
    <w:name w:val="A14"/>
    <w:uiPriority w:val="99"/>
    <w:rsid w:val="0059272B"/>
    <w:rPr>
      <w:rFonts w:cs="Tw Cen MT"/>
      <w:color w:val="221E1F"/>
      <w:sz w:val="22"/>
      <w:szCs w:val="22"/>
    </w:rPr>
  </w:style>
  <w:style w:type="paragraph" w:customStyle="1" w:styleId="Pa12">
    <w:name w:val="Pa12"/>
    <w:basedOn w:val="Default"/>
    <w:next w:val="Default"/>
    <w:uiPriority w:val="99"/>
    <w:rsid w:val="00F20830"/>
    <w:pPr>
      <w:spacing w:line="281" w:lineRule="atLeast"/>
    </w:pPr>
    <w:rPr>
      <w:rFonts w:cstheme="minorBidi"/>
      <w:color w:val="auto"/>
    </w:rPr>
  </w:style>
  <w:style w:type="paragraph" w:customStyle="1" w:styleId="Pa1">
    <w:name w:val="Pa1"/>
    <w:basedOn w:val="Default"/>
    <w:next w:val="Default"/>
    <w:uiPriority w:val="99"/>
    <w:rsid w:val="00F20830"/>
    <w:pPr>
      <w:spacing w:line="241" w:lineRule="atLeast"/>
    </w:pPr>
    <w:rPr>
      <w:rFonts w:cstheme="minorBidi"/>
      <w:color w:val="auto"/>
    </w:rPr>
  </w:style>
  <w:style w:type="paragraph" w:customStyle="1" w:styleId="Pa30">
    <w:name w:val="Pa30"/>
    <w:basedOn w:val="Default"/>
    <w:next w:val="Default"/>
    <w:uiPriority w:val="99"/>
    <w:rsid w:val="00F20830"/>
    <w:pPr>
      <w:spacing w:line="281" w:lineRule="atLeast"/>
    </w:pPr>
    <w:rPr>
      <w:rFonts w:cstheme="minorBidi"/>
      <w:color w:val="auto"/>
    </w:rPr>
  </w:style>
  <w:style w:type="paragraph" w:customStyle="1" w:styleId="Pa31">
    <w:name w:val="Pa31"/>
    <w:basedOn w:val="Default"/>
    <w:next w:val="Default"/>
    <w:uiPriority w:val="99"/>
    <w:rsid w:val="00F20830"/>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051B2"/>
    <w:rsid w:val="00210C05"/>
    <w:rsid w:val="002A38AC"/>
    <w:rsid w:val="0053314A"/>
    <w:rsid w:val="0054736B"/>
    <w:rsid w:val="00725E3D"/>
    <w:rsid w:val="009D04E1"/>
    <w:rsid w:val="009F1B4B"/>
    <w:rsid w:val="00A20D2B"/>
    <w:rsid w:val="00BD06C3"/>
    <w:rsid w:val="00D61E25"/>
    <w:rsid w:val="00DF7B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14A"/>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3C289-C5EE-4C33-B27D-9233027D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3.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2024-07-02T16:12:00Z</dcterms:created>
  <dcterms:modified xsi:type="dcterms:W3CDTF">2024-09-04T22:26:00Z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