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116"/>
        <w:gridCol w:w="1134"/>
        <w:gridCol w:w="313"/>
        <w:gridCol w:w="284"/>
        <w:gridCol w:w="3372"/>
        <w:gridCol w:w="270"/>
        <w:gridCol w:w="270"/>
        <w:gridCol w:w="2529"/>
        <w:gridCol w:w="531"/>
      </w:tblGrid>
      <w:tr w:rsidR="006C30F5" w:rsidRPr="006D388A" w14:paraId="1A1BA359" w14:textId="77777777" w:rsidTr="002A2284">
        <w:trPr>
          <w:trHeight w:val="454"/>
        </w:trPr>
        <w:tc>
          <w:tcPr>
            <w:tcW w:w="2097" w:type="dxa"/>
            <w:gridSpan w:val="2"/>
            <w:vAlign w:val="center"/>
          </w:tcPr>
          <w:p w14:paraId="01619DCE" w14:textId="315BC599" w:rsidR="006C30F5" w:rsidRPr="006D388A" w:rsidRDefault="001878B6" w:rsidP="00F263B8">
            <w:pPr>
              <w:pStyle w:val="Info"/>
              <w:rPr>
                <w:lang w:val="es-MX"/>
              </w:rPr>
            </w:pPr>
            <w:r w:rsidRPr="006D388A">
              <w:rPr>
                <w:noProof/>
                <w:lang w:val="es-MX"/>
              </w:rPr>
              <w:drawing>
                <wp:anchor distT="0" distB="0" distL="114300" distR="114300" simplePos="0" relativeHeight="251661824" behindDoc="1" locked="0" layoutInCell="1" allowOverlap="1" wp14:anchorId="28B843D1" wp14:editId="41F8F9BA">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172" w:type="dxa"/>
            <w:gridSpan w:val="7"/>
            <w:shd w:val="clear" w:color="auto" w:fill="42BA97" w:themeFill="accent4"/>
          </w:tcPr>
          <w:p w14:paraId="55B7DB51" w14:textId="69863938" w:rsidR="006C30F5" w:rsidRPr="006D388A" w:rsidRDefault="00282446" w:rsidP="00F263B8">
            <w:pPr>
              <w:pStyle w:val="Heading2"/>
              <w:rPr>
                <w:lang w:val="es-MX"/>
              </w:rPr>
            </w:pPr>
            <w:r w:rsidRPr="006D388A">
              <w:rPr>
                <w:color w:val="000000" w:themeColor="text1"/>
                <w:lang w:val="es-MX"/>
              </w:rPr>
              <w:t xml:space="preserve">Decimosegundo grado | Edición de primavera </w:t>
            </w:r>
          </w:p>
        </w:tc>
        <w:tc>
          <w:tcPr>
            <w:tcW w:w="531" w:type="dxa"/>
            <w:vAlign w:val="center"/>
          </w:tcPr>
          <w:p w14:paraId="09659BEE" w14:textId="2943D89A" w:rsidR="006C30F5" w:rsidRPr="006D388A" w:rsidRDefault="006C30F5" w:rsidP="00F263B8">
            <w:pPr>
              <w:rPr>
                <w:lang w:val="es-MX"/>
              </w:rPr>
            </w:pPr>
          </w:p>
        </w:tc>
      </w:tr>
      <w:tr w:rsidR="006C30F5" w:rsidRPr="006D388A" w14:paraId="4359D7EA" w14:textId="77777777" w:rsidTr="00B056FD">
        <w:trPr>
          <w:trHeight w:val="288"/>
        </w:trPr>
        <w:tc>
          <w:tcPr>
            <w:tcW w:w="10800" w:type="dxa"/>
            <w:gridSpan w:val="10"/>
          </w:tcPr>
          <w:p w14:paraId="23F9DB2B" w14:textId="7552FA48" w:rsidR="006C30F5" w:rsidRPr="006D388A" w:rsidRDefault="006C30F5" w:rsidP="00F263B8">
            <w:pPr>
              <w:rPr>
                <w:sz w:val="10"/>
                <w:szCs w:val="10"/>
                <w:lang w:val="es-MX"/>
              </w:rPr>
            </w:pPr>
          </w:p>
        </w:tc>
      </w:tr>
      <w:tr w:rsidR="002A2284" w:rsidRPr="006D388A" w14:paraId="178CAC26" w14:textId="77777777" w:rsidTr="00690E34">
        <w:trPr>
          <w:trHeight w:val="864"/>
        </w:trPr>
        <w:tc>
          <w:tcPr>
            <w:tcW w:w="981" w:type="dxa"/>
            <w:vAlign w:val="center"/>
          </w:tcPr>
          <w:p w14:paraId="407B2EE0" w14:textId="6BD99ED7" w:rsidR="002A2284" w:rsidRPr="006D388A" w:rsidRDefault="002A2284" w:rsidP="00F263B8">
            <w:pPr>
              <w:rPr>
                <w:lang w:val="es-MX"/>
              </w:rPr>
            </w:pPr>
          </w:p>
        </w:tc>
        <w:tc>
          <w:tcPr>
            <w:tcW w:w="9819" w:type="dxa"/>
            <w:gridSpan w:val="9"/>
            <w:vAlign w:val="center"/>
          </w:tcPr>
          <w:p w14:paraId="12B05C15" w14:textId="77777777" w:rsidR="002A2284" w:rsidRPr="006D388A" w:rsidRDefault="002A2284" w:rsidP="002A2284">
            <w:pPr>
              <w:pStyle w:val="Heading1"/>
              <w:ind w:left="545"/>
              <w:rPr>
                <w:sz w:val="48"/>
                <w:szCs w:val="20"/>
                <w:lang w:val="es-MX"/>
              </w:rPr>
            </w:pPr>
            <w:r w:rsidRPr="006D388A">
              <w:rPr>
                <w:sz w:val="48"/>
                <w:szCs w:val="20"/>
                <w:lang w:val="es-MX"/>
              </w:rPr>
              <w:t>PLANTILLA DEL BOLETÍN INFORMATIVO</w:t>
            </w:r>
          </w:p>
          <w:p w14:paraId="6B2F7AF3" w14:textId="7C8AA4C2" w:rsidR="002A2284" w:rsidRPr="006D388A" w:rsidRDefault="002A2284" w:rsidP="002A2284">
            <w:pPr>
              <w:pStyle w:val="Heading2"/>
              <w:spacing w:before="0"/>
              <w:ind w:left="545"/>
              <w:rPr>
                <w:lang w:val="es-MX"/>
              </w:rPr>
            </w:pPr>
            <w:r w:rsidRPr="006D388A">
              <w:rPr>
                <w:lang w:val="es-MX"/>
              </w:rPr>
              <w:t xml:space="preserve">High School &amp; Beyond </w:t>
            </w:r>
            <w:r w:rsidRPr="00B0034E">
              <w:t>Planning</w:t>
            </w:r>
            <w:r w:rsidRPr="006D388A">
              <w:rPr>
                <w:lang w:val="es-MX"/>
              </w:rPr>
              <w:t xml:space="preserve"> (Planificación para la Preparatoria </w:t>
            </w:r>
            <w:r w:rsidRPr="006D388A">
              <w:rPr>
                <w:lang w:val="es-MX"/>
              </w:rPr>
              <w:br/>
              <w:t>y Más Allá): Noticias e información</w:t>
            </w:r>
          </w:p>
        </w:tc>
      </w:tr>
      <w:tr w:rsidR="006C30F5" w:rsidRPr="006D388A" w14:paraId="3A5CC13C" w14:textId="77777777" w:rsidTr="00035894">
        <w:tc>
          <w:tcPr>
            <w:tcW w:w="10800" w:type="dxa"/>
            <w:gridSpan w:val="10"/>
            <w:tcBorders>
              <w:bottom w:val="single" w:sz="18" w:space="0" w:color="auto"/>
            </w:tcBorders>
          </w:tcPr>
          <w:p w14:paraId="3B36A4CB" w14:textId="77777777" w:rsidR="006C30F5" w:rsidRPr="006D388A" w:rsidRDefault="006C30F5" w:rsidP="00F263B8">
            <w:pPr>
              <w:rPr>
                <w:sz w:val="16"/>
                <w:szCs w:val="16"/>
                <w:lang w:val="es-MX"/>
              </w:rPr>
            </w:pPr>
          </w:p>
        </w:tc>
      </w:tr>
      <w:tr w:rsidR="00221E59" w:rsidRPr="00B0034E" w14:paraId="0CE963F1" w14:textId="77777777" w:rsidTr="00035894">
        <w:tc>
          <w:tcPr>
            <w:tcW w:w="10800" w:type="dxa"/>
            <w:gridSpan w:val="10"/>
            <w:tcBorders>
              <w:top w:val="single" w:sz="18" w:space="0" w:color="auto"/>
            </w:tcBorders>
            <w:vAlign w:val="center"/>
          </w:tcPr>
          <w:p w14:paraId="3E4C3711" w14:textId="4B3A8E12" w:rsidR="00221E59" w:rsidRPr="006D388A" w:rsidRDefault="00221E59" w:rsidP="00F263B8">
            <w:pPr>
              <w:pStyle w:val="Info"/>
              <w:jc w:val="right"/>
              <w:rPr>
                <w:i/>
                <w:iCs/>
                <w:color w:val="000000" w:themeColor="text1"/>
                <w:sz w:val="18"/>
                <w:lang w:val="en-US"/>
              </w:rPr>
            </w:pPr>
            <w:r w:rsidRPr="006D388A">
              <w:rPr>
                <w:i/>
                <w:iCs/>
                <w:color w:val="C00000"/>
                <w:sz w:val="18"/>
                <w:lang w:val="en-US"/>
              </w:rPr>
              <w:t>Replace with School Contact Info</w:t>
            </w:r>
          </w:p>
        </w:tc>
      </w:tr>
      <w:tr w:rsidR="004B1CE7" w:rsidRPr="00B0034E" w14:paraId="51EF200A" w14:textId="77777777" w:rsidTr="00035894">
        <w:trPr>
          <w:trHeight w:val="144"/>
        </w:trPr>
        <w:tc>
          <w:tcPr>
            <w:tcW w:w="10800" w:type="dxa"/>
            <w:gridSpan w:val="10"/>
          </w:tcPr>
          <w:p w14:paraId="58125260" w14:textId="77777777" w:rsidR="004B1CE7" w:rsidRPr="006D388A" w:rsidRDefault="004B1CE7" w:rsidP="00F263B8">
            <w:pPr>
              <w:rPr>
                <w:sz w:val="16"/>
                <w:szCs w:val="16"/>
                <w:lang w:val="en-US"/>
              </w:rPr>
            </w:pPr>
          </w:p>
        </w:tc>
      </w:tr>
      <w:tr w:rsidR="00D46CD2" w:rsidRPr="006D388A" w14:paraId="55E2CE09" w14:textId="77777777" w:rsidTr="00620321">
        <w:trPr>
          <w:trHeight w:val="3985"/>
        </w:trPr>
        <w:tc>
          <w:tcPr>
            <w:tcW w:w="3231" w:type="dxa"/>
            <w:gridSpan w:val="3"/>
            <w:vMerge w:val="restart"/>
          </w:tcPr>
          <w:p w14:paraId="47DC6F92" w14:textId="268834E1" w:rsidR="00E266E5" w:rsidRPr="006D388A" w:rsidRDefault="00620321" w:rsidP="00620321">
            <w:pPr>
              <w:pStyle w:val="Titlenormal"/>
              <w:rPr>
                <w:lang w:val="es-MX"/>
              </w:rPr>
            </w:pPr>
            <w:r w:rsidRPr="006D388A">
              <w:rPr>
                <w:lang w:val="es-MX"/>
              </w:rPr>
              <w:t xml:space="preserve">TOMA DE DECISIÓN </w:t>
            </w:r>
          </w:p>
          <w:p w14:paraId="2FE52EC0" w14:textId="03DD98B3" w:rsidR="00FD6823" w:rsidRPr="006D388A" w:rsidRDefault="00FD6823" w:rsidP="00620321">
            <w:pPr>
              <w:rPr>
                <w:lang w:val="es-MX"/>
              </w:rPr>
            </w:pPr>
            <w:r w:rsidRPr="006D388A">
              <w:rPr>
                <w:lang w:val="es-MX"/>
              </w:rPr>
              <w:t xml:space="preserve">El 1.º de mayo es la fecha límite para que los estudiantes de todo el país envíen su compromiso a la universidad o colegio al que asistirán el siguiente año escolar. ¡Felicidades si su hijo recibió ofertas de aceptación de un colegio, universidad o programa de formación! Ahora es el momento de que su hijo decida qué universidad es la más adecuada. Si su hijo no está seguro de qué universidad elegir, anímelo a </w:t>
            </w:r>
            <w:r w:rsidR="00720503">
              <w:rPr>
                <w:lang w:val="es-MX"/>
              </w:rPr>
              <w:br/>
            </w:r>
            <w:r w:rsidRPr="006D388A">
              <w:rPr>
                <w:lang w:val="es-MX"/>
              </w:rPr>
              <w:t>lo siguiente:</w:t>
            </w:r>
          </w:p>
          <w:p w14:paraId="063F5059" w14:textId="77777777" w:rsidR="00FD6823" w:rsidRPr="006D388A" w:rsidRDefault="00FD6823" w:rsidP="00620321">
            <w:pPr>
              <w:pStyle w:val="TextBody"/>
              <w:numPr>
                <w:ilvl w:val="0"/>
                <w:numId w:val="31"/>
              </w:numPr>
              <w:spacing w:after="0"/>
              <w:rPr>
                <w:lang w:val="es-MX"/>
              </w:rPr>
            </w:pPr>
            <w:r w:rsidRPr="006D388A">
              <w:rPr>
                <w:lang w:val="es-MX"/>
              </w:rPr>
              <w:t>Obtener más información.</w:t>
            </w:r>
          </w:p>
          <w:p w14:paraId="45FA1C95" w14:textId="77777777" w:rsidR="00FD6823" w:rsidRPr="006D388A" w:rsidRDefault="00FD6823" w:rsidP="00620321">
            <w:pPr>
              <w:pStyle w:val="TextBody"/>
              <w:numPr>
                <w:ilvl w:val="0"/>
                <w:numId w:val="31"/>
              </w:numPr>
              <w:spacing w:after="0"/>
              <w:rPr>
                <w:lang w:val="es-MX"/>
              </w:rPr>
            </w:pPr>
            <w:r w:rsidRPr="006D388A">
              <w:rPr>
                <w:lang w:val="es-MX"/>
              </w:rPr>
              <w:t xml:space="preserve">Hacer preguntas. </w:t>
            </w:r>
          </w:p>
          <w:p w14:paraId="27274716" w14:textId="6737B760" w:rsidR="00FD6823" w:rsidRPr="006D388A" w:rsidRDefault="00FD6823" w:rsidP="00620321">
            <w:pPr>
              <w:pStyle w:val="TextBody"/>
              <w:numPr>
                <w:ilvl w:val="0"/>
                <w:numId w:val="31"/>
              </w:numPr>
              <w:spacing w:after="0"/>
              <w:rPr>
                <w:lang w:val="es-MX"/>
              </w:rPr>
            </w:pPr>
            <w:r w:rsidRPr="006D388A">
              <w:rPr>
                <w:lang w:val="es-MX"/>
              </w:rPr>
              <w:t xml:space="preserve">Visitar o volver a visitar </w:t>
            </w:r>
            <w:r w:rsidR="00720503">
              <w:rPr>
                <w:lang w:val="es-MX"/>
              </w:rPr>
              <w:br/>
            </w:r>
            <w:r w:rsidRPr="006D388A">
              <w:rPr>
                <w:lang w:val="es-MX"/>
              </w:rPr>
              <w:t>los campus.</w:t>
            </w:r>
          </w:p>
          <w:p w14:paraId="28DEF15C" w14:textId="77777777" w:rsidR="00FD6823" w:rsidRPr="006D388A" w:rsidRDefault="00FD6823" w:rsidP="00620321">
            <w:pPr>
              <w:pStyle w:val="TextBody"/>
              <w:numPr>
                <w:ilvl w:val="0"/>
                <w:numId w:val="31"/>
              </w:numPr>
              <w:spacing w:after="0"/>
              <w:rPr>
                <w:lang w:val="es-MX"/>
              </w:rPr>
            </w:pPr>
            <w:r w:rsidRPr="006D388A">
              <w:rPr>
                <w:lang w:val="es-MX"/>
              </w:rPr>
              <w:t xml:space="preserve">Hablar con estudiantes actuales de la universidad. </w:t>
            </w:r>
          </w:p>
          <w:p w14:paraId="0BDE0C26" w14:textId="77777777" w:rsidR="00FD6823" w:rsidRPr="006D388A" w:rsidRDefault="00FD6823" w:rsidP="00620321">
            <w:pPr>
              <w:pStyle w:val="TextBody"/>
              <w:numPr>
                <w:ilvl w:val="0"/>
                <w:numId w:val="31"/>
              </w:numPr>
              <w:spacing w:after="0"/>
              <w:rPr>
                <w:lang w:val="es-MX"/>
              </w:rPr>
            </w:pPr>
            <w:r w:rsidRPr="006D388A">
              <w:rPr>
                <w:lang w:val="es-MX"/>
              </w:rPr>
              <w:t>Reflexionarlo.</w:t>
            </w:r>
          </w:p>
          <w:p w14:paraId="6084CA58" w14:textId="77777777" w:rsidR="00FD6823" w:rsidRPr="006D388A" w:rsidRDefault="00FD6823" w:rsidP="00620321">
            <w:pPr>
              <w:pStyle w:val="TextBody"/>
              <w:numPr>
                <w:ilvl w:val="0"/>
                <w:numId w:val="31"/>
              </w:numPr>
              <w:spacing w:after="0"/>
              <w:rPr>
                <w:lang w:val="es-MX"/>
              </w:rPr>
            </w:pPr>
            <w:r w:rsidRPr="006D388A">
              <w:rPr>
                <w:lang w:val="es-MX"/>
              </w:rPr>
              <w:t xml:space="preserve">Comparar las universidades. </w:t>
            </w:r>
          </w:p>
          <w:p w14:paraId="6153892E" w14:textId="77777777" w:rsidR="00FD6823" w:rsidRPr="006D388A" w:rsidRDefault="00FD6823" w:rsidP="00620321">
            <w:pPr>
              <w:pStyle w:val="TextBody"/>
              <w:numPr>
                <w:ilvl w:val="0"/>
                <w:numId w:val="31"/>
              </w:numPr>
              <w:rPr>
                <w:lang w:val="es-MX"/>
              </w:rPr>
            </w:pPr>
            <w:r w:rsidRPr="006D388A">
              <w:rPr>
                <w:lang w:val="es-MX"/>
              </w:rPr>
              <w:t>Comparar las concesiones de ayuda financiera.</w:t>
            </w:r>
          </w:p>
          <w:p w14:paraId="7BF8CF34" w14:textId="35934452" w:rsidR="00620321" w:rsidRPr="006D388A" w:rsidRDefault="00620321" w:rsidP="00A8645A">
            <w:pPr>
              <w:pStyle w:val="TextBody"/>
              <w:rPr>
                <w:color w:val="6FA0C0" w:themeColor="text2" w:themeTint="99"/>
                <w:u w:val="single"/>
                <w:lang w:val="es-MX"/>
              </w:rPr>
            </w:pPr>
            <w:r w:rsidRPr="006D388A">
              <w:rPr>
                <w:lang w:val="es-MX"/>
              </w:rPr>
              <w:t xml:space="preserve">Anime a su hijo adolescente a utilizar la herramienta Compare Your </w:t>
            </w:r>
            <w:r w:rsidR="00720503">
              <w:rPr>
                <w:lang w:val="es-MX"/>
              </w:rPr>
              <w:br/>
            </w:r>
            <w:r w:rsidRPr="006D388A">
              <w:rPr>
                <w:lang w:val="es-MX"/>
              </w:rPr>
              <w:t xml:space="preserve">Aid Awards de BigFuture. </w:t>
            </w:r>
            <w:r w:rsidR="00720503">
              <w:rPr>
                <w:lang w:val="es-MX"/>
              </w:rPr>
              <w:br/>
            </w:r>
            <w:r w:rsidRPr="006D388A">
              <w:rPr>
                <w:lang w:val="es-MX"/>
              </w:rPr>
              <w:t>Puede encontrarla en bigfuture.collegeboard.org. Le permite comparar al mismo tiempo hasta cuatro ofertas de ayuda financiera. Hablen sobre qué universidades son las mejores desde el punto de vista económico. ¿La universidad que ofrece más ayuda financiera es la que mejor se adapta a sus finanzas? ¿Qué paquete de ayuda financiera es más viable para su familia? ¿Qué paquete de ayuda financiera se ajusta mejor a los objetivos a largo plazo de su hijo?</w:t>
            </w:r>
          </w:p>
          <w:p w14:paraId="3C9107E7" w14:textId="3B831C65" w:rsidR="00D46CD2" w:rsidRPr="006D388A" w:rsidRDefault="00D46CD2" w:rsidP="00620321">
            <w:pPr>
              <w:rPr>
                <w:lang w:val="es-MX"/>
              </w:rPr>
            </w:pPr>
          </w:p>
        </w:tc>
        <w:tc>
          <w:tcPr>
            <w:tcW w:w="313" w:type="dxa"/>
            <w:vMerge w:val="restart"/>
            <w:tcBorders>
              <w:right w:val="single" w:sz="18" w:space="0" w:color="auto"/>
            </w:tcBorders>
          </w:tcPr>
          <w:p w14:paraId="22E8ECCE" w14:textId="20EADE00" w:rsidR="00D46CD2" w:rsidRPr="006D388A" w:rsidRDefault="00D46CD2" w:rsidP="00F263B8">
            <w:pPr>
              <w:rPr>
                <w:lang w:val="es-MX"/>
              </w:rPr>
            </w:pPr>
          </w:p>
        </w:tc>
        <w:tc>
          <w:tcPr>
            <w:tcW w:w="284" w:type="dxa"/>
            <w:vMerge w:val="restart"/>
            <w:tcBorders>
              <w:left w:val="single" w:sz="18" w:space="0" w:color="auto"/>
            </w:tcBorders>
          </w:tcPr>
          <w:p w14:paraId="5CD1640A" w14:textId="77777777" w:rsidR="00D46CD2" w:rsidRPr="006D388A" w:rsidRDefault="00D46CD2" w:rsidP="00F263B8">
            <w:pPr>
              <w:rPr>
                <w:lang w:val="es-MX"/>
              </w:rPr>
            </w:pPr>
          </w:p>
        </w:tc>
        <w:tc>
          <w:tcPr>
            <w:tcW w:w="3372" w:type="dxa"/>
            <w:tcBorders>
              <w:bottom w:val="single" w:sz="18" w:space="0" w:color="auto"/>
            </w:tcBorders>
          </w:tcPr>
          <w:p w14:paraId="2F6C9759" w14:textId="6C6605CE" w:rsidR="00620321" w:rsidRPr="006D388A" w:rsidRDefault="00620321" w:rsidP="00620321">
            <w:pPr>
              <w:pStyle w:val="TextBody"/>
              <w:rPr>
                <w:lang w:val="es-MX"/>
              </w:rPr>
            </w:pPr>
            <w:r w:rsidRPr="006D388A">
              <w:rPr>
                <w:lang w:val="es-MX"/>
              </w:rPr>
              <w:t>Una vez que su hijo haya decidido a qué universidad quiere asistir, pídale que informe de su decisión a todas las universidades que lo aceptaron. Su hijo debe aceptar una oferta de admisión y enviar un depósito para asegurar un lugar en esa institución. Si el depósito representa una dificultad y no puede pagarlo, llame a la oficina de ayuda financiera para solicitar ayuda. Además, asegúrese de enviar todos los documentos que solicite la universidad.</w:t>
            </w:r>
          </w:p>
          <w:p w14:paraId="67F7BF3A" w14:textId="4CA9835C" w:rsidR="00263BF4" w:rsidRPr="006D388A" w:rsidRDefault="00620321" w:rsidP="00620321">
            <w:pPr>
              <w:pStyle w:val="TextBody"/>
              <w:rPr>
                <w:lang w:val="es-MX"/>
              </w:rPr>
            </w:pPr>
            <w:r w:rsidRPr="006D388A">
              <w:rPr>
                <w:lang w:val="es-MX"/>
              </w:rPr>
              <w:t>Los estudiantes que estén en lista de espera o no hayan sido admitidos deben reunirse con su consejero vocacional para recibir información sobre los siguientes pasos.</w:t>
            </w:r>
          </w:p>
        </w:tc>
        <w:tc>
          <w:tcPr>
            <w:tcW w:w="3600" w:type="dxa"/>
            <w:gridSpan w:val="4"/>
          </w:tcPr>
          <w:p w14:paraId="6A8044F8" w14:textId="37255CF9" w:rsidR="00AF5233" w:rsidRPr="006D388A" w:rsidRDefault="00AF5233" w:rsidP="00620321">
            <w:pPr>
              <w:pStyle w:val="TextBody"/>
              <w:rPr>
                <w:lang w:val="es-MX"/>
              </w:rPr>
            </w:pPr>
          </w:p>
        </w:tc>
      </w:tr>
      <w:tr w:rsidR="006C30F5" w:rsidRPr="006D388A" w14:paraId="0727042E" w14:textId="77777777" w:rsidTr="00035894">
        <w:trPr>
          <w:trHeight w:val="432"/>
        </w:trPr>
        <w:tc>
          <w:tcPr>
            <w:tcW w:w="3231" w:type="dxa"/>
            <w:gridSpan w:val="3"/>
            <w:vMerge/>
          </w:tcPr>
          <w:p w14:paraId="4BE4CE13" w14:textId="77777777" w:rsidR="006C30F5" w:rsidRPr="006D388A" w:rsidRDefault="006C30F5" w:rsidP="00F263B8">
            <w:pPr>
              <w:rPr>
                <w:lang w:val="es-MX"/>
              </w:rPr>
            </w:pPr>
          </w:p>
        </w:tc>
        <w:tc>
          <w:tcPr>
            <w:tcW w:w="313" w:type="dxa"/>
            <w:vMerge/>
            <w:tcBorders>
              <w:right w:val="single" w:sz="18" w:space="0" w:color="auto"/>
            </w:tcBorders>
          </w:tcPr>
          <w:p w14:paraId="23C2818D" w14:textId="77777777" w:rsidR="006C30F5" w:rsidRPr="006D388A" w:rsidRDefault="006C30F5" w:rsidP="00F263B8">
            <w:pPr>
              <w:rPr>
                <w:lang w:val="es-MX"/>
              </w:rPr>
            </w:pPr>
          </w:p>
        </w:tc>
        <w:tc>
          <w:tcPr>
            <w:tcW w:w="284" w:type="dxa"/>
            <w:vMerge/>
            <w:tcBorders>
              <w:left w:val="single" w:sz="18" w:space="0" w:color="auto"/>
            </w:tcBorders>
          </w:tcPr>
          <w:p w14:paraId="77F0BF1C" w14:textId="77777777" w:rsidR="006C30F5" w:rsidRPr="006D388A" w:rsidRDefault="006C30F5" w:rsidP="00F263B8">
            <w:pPr>
              <w:rPr>
                <w:lang w:val="es-MX"/>
              </w:rPr>
            </w:pPr>
          </w:p>
        </w:tc>
        <w:tc>
          <w:tcPr>
            <w:tcW w:w="3372" w:type="dxa"/>
            <w:tcBorders>
              <w:top w:val="single" w:sz="18" w:space="0" w:color="auto"/>
            </w:tcBorders>
          </w:tcPr>
          <w:p w14:paraId="69E07A8C" w14:textId="77777777" w:rsidR="006C30F5" w:rsidRPr="006D388A" w:rsidRDefault="006C30F5" w:rsidP="00F263B8">
            <w:pPr>
              <w:rPr>
                <w:lang w:val="es-MX"/>
              </w:rPr>
            </w:pPr>
          </w:p>
        </w:tc>
        <w:tc>
          <w:tcPr>
            <w:tcW w:w="270" w:type="dxa"/>
            <w:tcBorders>
              <w:top w:val="single" w:sz="18" w:space="0" w:color="auto"/>
            </w:tcBorders>
          </w:tcPr>
          <w:p w14:paraId="63CA43EB" w14:textId="77777777" w:rsidR="006C30F5" w:rsidRPr="006D388A" w:rsidRDefault="006C30F5" w:rsidP="00F263B8">
            <w:pPr>
              <w:rPr>
                <w:lang w:val="es-MX"/>
              </w:rPr>
            </w:pPr>
          </w:p>
        </w:tc>
        <w:tc>
          <w:tcPr>
            <w:tcW w:w="270" w:type="dxa"/>
            <w:tcBorders>
              <w:top w:val="single" w:sz="18" w:space="0" w:color="auto"/>
            </w:tcBorders>
          </w:tcPr>
          <w:p w14:paraId="619C8043" w14:textId="77777777" w:rsidR="006C30F5" w:rsidRPr="006D388A" w:rsidRDefault="006C30F5" w:rsidP="00F263B8">
            <w:pPr>
              <w:rPr>
                <w:lang w:val="es-MX"/>
              </w:rPr>
            </w:pPr>
          </w:p>
        </w:tc>
        <w:tc>
          <w:tcPr>
            <w:tcW w:w="3060" w:type="dxa"/>
            <w:gridSpan w:val="2"/>
            <w:tcBorders>
              <w:top w:val="single" w:sz="18" w:space="0" w:color="auto"/>
            </w:tcBorders>
          </w:tcPr>
          <w:p w14:paraId="4BF167C6" w14:textId="77777777" w:rsidR="006C30F5" w:rsidRPr="006D388A" w:rsidRDefault="006C30F5" w:rsidP="00F263B8">
            <w:pPr>
              <w:rPr>
                <w:lang w:val="es-MX"/>
              </w:rPr>
            </w:pPr>
          </w:p>
        </w:tc>
      </w:tr>
      <w:tr w:rsidR="006C30F5" w:rsidRPr="006D388A" w14:paraId="7B5B841B" w14:textId="77777777" w:rsidTr="00035894">
        <w:trPr>
          <w:trHeight w:val="4320"/>
        </w:trPr>
        <w:tc>
          <w:tcPr>
            <w:tcW w:w="3231" w:type="dxa"/>
            <w:gridSpan w:val="3"/>
            <w:vMerge/>
          </w:tcPr>
          <w:p w14:paraId="5144FECC" w14:textId="77777777" w:rsidR="006C30F5" w:rsidRPr="006D388A" w:rsidRDefault="006C30F5" w:rsidP="00F263B8">
            <w:pPr>
              <w:rPr>
                <w:lang w:val="es-MX"/>
              </w:rPr>
            </w:pPr>
          </w:p>
        </w:tc>
        <w:tc>
          <w:tcPr>
            <w:tcW w:w="313" w:type="dxa"/>
            <w:vMerge/>
            <w:tcBorders>
              <w:right w:val="single" w:sz="18" w:space="0" w:color="auto"/>
            </w:tcBorders>
          </w:tcPr>
          <w:p w14:paraId="5EEFACED" w14:textId="77777777" w:rsidR="006C30F5" w:rsidRPr="006D388A" w:rsidRDefault="006C30F5" w:rsidP="00F263B8">
            <w:pPr>
              <w:rPr>
                <w:lang w:val="es-MX"/>
              </w:rPr>
            </w:pPr>
          </w:p>
        </w:tc>
        <w:tc>
          <w:tcPr>
            <w:tcW w:w="284" w:type="dxa"/>
            <w:vMerge/>
            <w:tcBorders>
              <w:left w:val="single" w:sz="18" w:space="0" w:color="auto"/>
            </w:tcBorders>
          </w:tcPr>
          <w:p w14:paraId="2BC9F19E" w14:textId="77777777" w:rsidR="006C30F5" w:rsidRPr="006D388A" w:rsidRDefault="006C30F5" w:rsidP="00F263B8">
            <w:pPr>
              <w:rPr>
                <w:lang w:val="es-MX"/>
              </w:rPr>
            </w:pPr>
          </w:p>
        </w:tc>
        <w:tc>
          <w:tcPr>
            <w:tcW w:w="3372" w:type="dxa"/>
          </w:tcPr>
          <w:p w14:paraId="05DBA5EC" w14:textId="53B27488" w:rsidR="006C30F5" w:rsidRPr="006D388A" w:rsidRDefault="007F262D" w:rsidP="00FE1655">
            <w:pPr>
              <w:rPr>
                <w:lang w:val="es-MX"/>
              </w:rPr>
            </w:pPr>
            <w:sdt>
              <w:sdtPr>
                <w:rPr>
                  <w:rStyle w:val="TitlenormalChar"/>
                  <w:lang w:val="es-MX"/>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0F0B35" w:rsidRPr="006D388A">
                  <w:rPr>
                    <w:rStyle w:val="TitlenormalChar"/>
                    <w:lang w:val="es-MX"/>
                  </w:rPr>
                  <w:t>PRÓXIMOS EVENTOS</w:t>
                </w:r>
              </w:sdtContent>
            </w:sdt>
          </w:p>
          <w:p w14:paraId="347FA6EA" w14:textId="2D3E5DAA" w:rsidR="006C30F5" w:rsidRPr="006D388A" w:rsidRDefault="006C30F5" w:rsidP="00FE1655">
            <w:pPr>
              <w:rPr>
                <w:lang w:val="es-MX"/>
              </w:rPr>
            </w:pPr>
          </w:p>
          <w:p w14:paraId="340D22C2" w14:textId="09364564" w:rsidR="00FF5E20" w:rsidRPr="006D388A" w:rsidRDefault="007F262D" w:rsidP="00720503">
            <w:pPr>
              <w:pStyle w:val="ListParagraph"/>
              <w:numPr>
                <w:ilvl w:val="0"/>
                <w:numId w:val="3"/>
              </w:numPr>
              <w:ind w:right="346"/>
              <w:rPr>
                <w:i/>
                <w:iCs/>
                <w:color w:val="A6A6A6" w:themeColor="background1" w:themeShade="A6"/>
                <w:lang w:val="es-MX"/>
              </w:rPr>
            </w:pPr>
            <w:sdt>
              <w:sdtPr>
                <w:rPr>
                  <w:i/>
                  <w:iCs/>
                  <w:color w:val="A6A6A6" w:themeColor="background1" w:themeShade="A6"/>
                  <w:lang w:val="es-MX"/>
                </w:rPr>
                <w:id w:val="-1628150936"/>
                <w:placeholder>
                  <w:docPart w:val="EA7A00A92EF74F2593D77E1A133A11C4"/>
                </w:placeholder>
              </w:sdtPr>
              <w:sdtEndPr/>
              <w:sdtContent>
                <w:sdt>
                  <w:sdtPr>
                    <w:rPr>
                      <w:i/>
                      <w:iCs/>
                      <w:color w:val="A6A6A6" w:themeColor="background1" w:themeShade="A6"/>
                      <w:lang w:val="es-MX"/>
                    </w:rPr>
                    <w:id w:val="-1441836109"/>
                    <w:placeholder>
                      <w:docPart w:val="2DCAB4B9D01E4BC995A861E0057886C6"/>
                    </w:placeholder>
                  </w:sdtPr>
                  <w:sdtEndPr/>
                  <w:sdtContent>
                    <w:sdt>
                      <w:sdtPr>
                        <w:rPr>
                          <w:i/>
                          <w:iCs/>
                          <w:color w:val="A6A6A6" w:themeColor="background1" w:themeShade="A6"/>
                          <w:lang w:val="es-MX"/>
                        </w:rPr>
                        <w:id w:val="2022893207"/>
                        <w:placeholder>
                          <w:docPart w:val="B2EBD7BA2B1E4A0E8B32016484770F92"/>
                        </w:placeholder>
                        <w:showingPlcHdr/>
                      </w:sdtPr>
                      <w:sdtEndPr/>
                      <w:sdtContent>
                        <w:r w:rsidR="000F0B35" w:rsidRPr="006D388A">
                          <w:rPr>
                            <w:rStyle w:val="PlaceholderText"/>
                            <w:i/>
                            <w:iCs/>
                            <w:color w:val="C00000"/>
                            <w:lang w:val="es-MX"/>
                          </w:rPr>
                          <w:t>Haga clic aquí para ingresar texto.</w:t>
                        </w:r>
                      </w:sdtContent>
                    </w:sdt>
                  </w:sdtContent>
                </w:sdt>
              </w:sdtContent>
            </w:sdt>
          </w:p>
          <w:p w14:paraId="7D46F4FD" w14:textId="184DB987" w:rsidR="006C30F5" w:rsidRPr="006D388A" w:rsidRDefault="006C30F5" w:rsidP="00FE1655">
            <w:pPr>
              <w:ind w:left="360"/>
              <w:rPr>
                <w:lang w:val="es-MX"/>
              </w:rPr>
            </w:pPr>
          </w:p>
        </w:tc>
        <w:tc>
          <w:tcPr>
            <w:tcW w:w="270" w:type="dxa"/>
            <w:tcBorders>
              <w:right w:val="single" w:sz="18" w:space="0" w:color="auto"/>
            </w:tcBorders>
          </w:tcPr>
          <w:p w14:paraId="562E0CFE" w14:textId="77777777" w:rsidR="006C30F5" w:rsidRPr="006D388A" w:rsidRDefault="006C30F5" w:rsidP="00F263B8">
            <w:pPr>
              <w:rPr>
                <w:lang w:val="es-MX"/>
              </w:rPr>
            </w:pPr>
          </w:p>
        </w:tc>
        <w:tc>
          <w:tcPr>
            <w:tcW w:w="270" w:type="dxa"/>
            <w:tcBorders>
              <w:left w:val="single" w:sz="18" w:space="0" w:color="auto"/>
            </w:tcBorders>
          </w:tcPr>
          <w:p w14:paraId="26318FC3" w14:textId="380941CC" w:rsidR="006C30F5" w:rsidRPr="006D388A" w:rsidRDefault="006C30F5" w:rsidP="00F263B8">
            <w:pPr>
              <w:rPr>
                <w:lang w:val="es-MX"/>
              </w:rPr>
            </w:pPr>
          </w:p>
        </w:tc>
        <w:tc>
          <w:tcPr>
            <w:tcW w:w="3060" w:type="dxa"/>
            <w:gridSpan w:val="2"/>
          </w:tcPr>
          <w:p w14:paraId="04A458B9" w14:textId="7D1D2895" w:rsidR="0013534A" w:rsidRPr="006D388A" w:rsidRDefault="0013534A" w:rsidP="0013534A">
            <w:pPr>
              <w:jc w:val="center"/>
              <w:rPr>
                <w:rStyle w:val="TitlenormalChar"/>
                <w:lang w:val="es-MX"/>
              </w:rPr>
            </w:pPr>
            <w:r w:rsidRPr="006D388A">
              <w:rPr>
                <w:rFonts w:ascii="Tw Cen MT" w:hAnsi="Tw Cen MT"/>
                <w:b/>
                <w:bCs/>
                <w:noProof/>
                <w:color w:val="0D5672" w:themeColor="accent1"/>
                <w:sz w:val="32"/>
                <w:szCs w:val="22"/>
                <w:lang w:val="es-MX"/>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6D388A" w:rsidRDefault="00B20006" w:rsidP="0013534A">
            <w:pPr>
              <w:jc w:val="center"/>
              <w:rPr>
                <w:lang w:val="es-MX"/>
              </w:rPr>
            </w:pPr>
            <w:r w:rsidRPr="006D388A">
              <w:rPr>
                <w:rStyle w:val="TitlenormalChar"/>
                <w:lang w:val="es-MX"/>
              </w:rPr>
              <w:t>¿SABÍA QUÉ?</w:t>
            </w:r>
          </w:p>
          <w:p w14:paraId="71893605" w14:textId="748D7D44" w:rsidR="00C342D3" w:rsidRPr="006D388A" w:rsidRDefault="00274D60" w:rsidP="00A75BDB">
            <w:pPr>
              <w:rPr>
                <w:lang w:val="es-MX"/>
              </w:rPr>
            </w:pPr>
            <w:r w:rsidRPr="006D388A">
              <w:rPr>
                <w:lang w:val="es-MX"/>
              </w:rPr>
              <w:t xml:space="preserve">Otterbot es un servicio de mensajes de texto gratuito diseñado para ayudar a los estudiantes de Washington durante el proceso para obtener ayuda financiera para la educación universitaria y profesional. Los estudiantes pueden acceder a Otterbot por mensajes de texto las 24 horas del día, </w:t>
            </w:r>
            <w:r w:rsidR="00720503">
              <w:rPr>
                <w:lang w:val="es-MX"/>
              </w:rPr>
              <w:br/>
            </w:r>
            <w:r w:rsidRPr="006D388A">
              <w:rPr>
                <w:lang w:val="es-MX"/>
              </w:rPr>
              <w:t xml:space="preserve">los 7 días de la semana. Envíe el mensaje “Hi Otter” (Hola, Otterbot) al 360-928-7281. </w:t>
            </w:r>
          </w:p>
          <w:p w14:paraId="469F7F5E" w14:textId="77777777" w:rsidR="00A8645A" w:rsidRPr="006D388A" w:rsidRDefault="00A8645A" w:rsidP="00A75BDB">
            <w:pPr>
              <w:rPr>
                <w:lang w:val="es-MX"/>
              </w:rPr>
            </w:pPr>
          </w:p>
          <w:p w14:paraId="5664FD70" w14:textId="18305403" w:rsidR="00CD5E35" w:rsidRPr="006D388A" w:rsidRDefault="00274D60" w:rsidP="00A75BDB">
            <w:pPr>
              <w:rPr>
                <w:lang w:val="es-MX"/>
              </w:rPr>
            </w:pPr>
            <w:r w:rsidRPr="006D388A">
              <w:rPr>
                <w:lang w:val="es-MX"/>
              </w:rPr>
              <w:t>Obtenga más información en wsac.wa.gov/otterbot.</w:t>
            </w:r>
          </w:p>
        </w:tc>
      </w:tr>
    </w:tbl>
    <w:p w14:paraId="1BDD458E" w14:textId="66D0DCB0" w:rsidR="003C7B1E" w:rsidRPr="006D388A" w:rsidRDefault="003C7B1E">
      <w:pPr>
        <w:rPr>
          <w:lang w:val="es-MX"/>
        </w:rPr>
      </w:pPr>
    </w:p>
    <w:p w14:paraId="75AF312A" w14:textId="77777777" w:rsidR="003C7B1E" w:rsidRPr="006D388A" w:rsidRDefault="003C7B1E">
      <w:pPr>
        <w:rPr>
          <w:lang w:val="es-MX"/>
        </w:rPr>
      </w:pPr>
      <w:r w:rsidRPr="006D388A">
        <w:rPr>
          <w:lang w:val="es-MX"/>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6D388A" w14:paraId="6F1EC783" w14:textId="77777777" w:rsidTr="00035894">
        <w:trPr>
          <w:trHeight w:val="454"/>
        </w:trPr>
        <w:tc>
          <w:tcPr>
            <w:tcW w:w="10790" w:type="dxa"/>
            <w:gridSpan w:val="6"/>
            <w:tcBorders>
              <w:bottom w:val="single" w:sz="18" w:space="0" w:color="auto"/>
            </w:tcBorders>
          </w:tcPr>
          <w:p w14:paraId="0C643917" w14:textId="46FE2561" w:rsidR="00221E59" w:rsidRPr="006D388A" w:rsidRDefault="007F262D" w:rsidP="00221E59">
            <w:pPr>
              <w:rPr>
                <w:rStyle w:val="Heading2Char"/>
                <w:lang w:val="es-MX"/>
              </w:rPr>
            </w:pPr>
            <w:r>
              <w:rPr>
                <w:rStyle w:val="Heading3Char"/>
              </w:rPr>
              <w:lastRenderedPageBreak/>
              <w:pict w14:anchorId="3CEF12A8">
                <v:group id="Group 1383" o:spid="_x0000_s1026" alt="&quot;&quot;" style="position:absolute;margin-left:-33.75pt;margin-top:-30pt;width:612pt;height:11in;z-index:-25165260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6D388A">
              <w:rPr>
                <w:rStyle w:val="Heading3Char"/>
                <w:lang w:val="es-MX"/>
              </w:rPr>
              <w:t>High School &amp; Beyond Planning</w:t>
            </w:r>
            <w:r w:rsidR="00221E59" w:rsidRPr="006D388A">
              <w:rPr>
                <w:rStyle w:val="Heading2Char"/>
                <w:lang w:val="es-MX"/>
              </w:rPr>
              <w:t xml:space="preserve"> </w:t>
            </w:r>
          </w:p>
          <w:p w14:paraId="4CEE5AD0" w14:textId="34DB7D39" w:rsidR="00221E59" w:rsidRPr="006D388A" w:rsidRDefault="0048471B" w:rsidP="00221E59">
            <w:pPr>
              <w:rPr>
                <w:lang w:val="es-MX"/>
              </w:rPr>
            </w:pPr>
            <w:r w:rsidRPr="006D388A">
              <w:rPr>
                <w:rStyle w:val="Heading2Char"/>
                <w:color w:val="000000" w:themeColor="text1"/>
                <w:lang w:val="es-MX"/>
              </w:rPr>
              <w:t>Decimosegundo grado | Edición de primavera | gearup.wa.gov</w:t>
            </w:r>
          </w:p>
        </w:tc>
      </w:tr>
      <w:tr w:rsidR="003924B1" w:rsidRPr="006D388A" w14:paraId="68BDF0EE" w14:textId="77777777" w:rsidTr="00FD11AA">
        <w:trPr>
          <w:trHeight w:val="331"/>
        </w:trPr>
        <w:tc>
          <w:tcPr>
            <w:tcW w:w="10790" w:type="dxa"/>
            <w:gridSpan w:val="6"/>
            <w:tcBorders>
              <w:top w:val="single" w:sz="18" w:space="0" w:color="auto"/>
            </w:tcBorders>
          </w:tcPr>
          <w:p w14:paraId="0267F210" w14:textId="77777777" w:rsidR="003924B1" w:rsidRPr="006D388A" w:rsidRDefault="003924B1" w:rsidP="00BA1778">
            <w:pPr>
              <w:rPr>
                <w:sz w:val="14"/>
                <w:szCs w:val="14"/>
                <w:lang w:val="es-MX"/>
              </w:rPr>
            </w:pPr>
          </w:p>
        </w:tc>
      </w:tr>
      <w:tr w:rsidR="00F20830" w:rsidRPr="006D388A" w14:paraId="41244D99" w14:textId="77777777" w:rsidTr="00035894">
        <w:trPr>
          <w:trHeight w:val="735"/>
        </w:trPr>
        <w:tc>
          <w:tcPr>
            <w:tcW w:w="3678" w:type="dxa"/>
          </w:tcPr>
          <w:p w14:paraId="346B1E21" w14:textId="730B84B3" w:rsidR="00F20830" w:rsidRPr="006D388A" w:rsidRDefault="007A01D5" w:rsidP="00A8645A">
            <w:pPr>
              <w:rPr>
                <w:b/>
                <w:bCs/>
                <w:i/>
                <w:iCs/>
                <w:color w:val="C00000"/>
                <w:lang w:val="es-MX"/>
              </w:rPr>
            </w:pPr>
            <w:r w:rsidRPr="006D388A">
              <w:rPr>
                <w:b/>
                <w:bCs/>
                <w:i/>
                <w:iCs/>
                <w:color w:val="C00000"/>
                <w:lang w:val="es-MX"/>
              </w:rPr>
              <w:t xml:space="preserve">Insert Financial Aid Completion </w:t>
            </w:r>
            <w:r w:rsidR="00720503">
              <w:rPr>
                <w:b/>
                <w:bCs/>
                <w:i/>
                <w:iCs/>
                <w:color w:val="C00000"/>
                <w:lang w:val="es-MX"/>
              </w:rPr>
              <w:br/>
            </w:r>
            <w:r w:rsidRPr="006D388A">
              <w:rPr>
                <w:b/>
                <w:bCs/>
                <w:i/>
                <w:iCs/>
                <w:color w:val="C00000"/>
                <w:lang w:val="es-MX"/>
              </w:rPr>
              <w:t>Event Information</w:t>
            </w:r>
          </w:p>
        </w:tc>
        <w:tc>
          <w:tcPr>
            <w:tcW w:w="277" w:type="dxa"/>
            <w:vMerge w:val="restart"/>
          </w:tcPr>
          <w:p w14:paraId="3295F43E" w14:textId="220694F4" w:rsidR="00F20830" w:rsidRPr="006D388A" w:rsidRDefault="00F20830" w:rsidP="00A8645A">
            <w:pPr>
              <w:rPr>
                <w:b/>
                <w:bCs/>
                <w:i/>
                <w:iCs/>
                <w:color w:val="C00000"/>
                <w:lang w:val="es-MX"/>
              </w:rPr>
            </w:pPr>
          </w:p>
        </w:tc>
        <w:tc>
          <w:tcPr>
            <w:tcW w:w="6835" w:type="dxa"/>
            <w:gridSpan w:val="4"/>
            <w:vMerge w:val="restart"/>
          </w:tcPr>
          <w:p w14:paraId="622F06CA" w14:textId="11A51A12" w:rsidR="00F20830" w:rsidRPr="006D388A" w:rsidRDefault="007A01D5" w:rsidP="00A8645A">
            <w:pPr>
              <w:rPr>
                <w:b/>
                <w:bCs/>
                <w:i/>
                <w:iCs/>
                <w:color w:val="C00000"/>
                <w:lang w:val="es-MX"/>
              </w:rPr>
            </w:pPr>
            <w:r w:rsidRPr="006D388A">
              <w:rPr>
                <w:b/>
                <w:bCs/>
                <w:i/>
                <w:iCs/>
                <w:color w:val="C00000"/>
                <w:lang w:val="es-MX"/>
              </w:rPr>
              <w:t>Insert Financial Aid Completion Event Information</w:t>
            </w:r>
          </w:p>
        </w:tc>
      </w:tr>
      <w:tr w:rsidR="00F20830" w:rsidRPr="006D388A" w14:paraId="7CB159C4" w14:textId="77777777" w:rsidTr="00F20830">
        <w:trPr>
          <w:trHeight w:val="2041"/>
        </w:trPr>
        <w:tc>
          <w:tcPr>
            <w:tcW w:w="3678" w:type="dxa"/>
            <w:tcBorders>
              <w:bottom w:val="single" w:sz="18" w:space="0" w:color="auto"/>
            </w:tcBorders>
          </w:tcPr>
          <w:p w14:paraId="7CEC2781" w14:textId="5D4C70D3" w:rsidR="00F20830" w:rsidRPr="006D388A" w:rsidRDefault="00F20830" w:rsidP="00F20830">
            <w:pPr>
              <w:pStyle w:val="TextBody"/>
              <w:rPr>
                <w:lang w:val="es-MX"/>
              </w:rPr>
            </w:pPr>
          </w:p>
        </w:tc>
        <w:tc>
          <w:tcPr>
            <w:tcW w:w="277" w:type="dxa"/>
            <w:vMerge/>
            <w:tcBorders>
              <w:bottom w:val="single" w:sz="18" w:space="0" w:color="auto"/>
            </w:tcBorders>
          </w:tcPr>
          <w:p w14:paraId="0AB48CA8" w14:textId="77777777" w:rsidR="00F20830" w:rsidRPr="006D388A" w:rsidRDefault="00F20830" w:rsidP="00F20830">
            <w:pPr>
              <w:rPr>
                <w:lang w:val="es-MX"/>
              </w:rPr>
            </w:pPr>
          </w:p>
        </w:tc>
        <w:tc>
          <w:tcPr>
            <w:tcW w:w="6835" w:type="dxa"/>
            <w:gridSpan w:val="4"/>
            <w:vMerge/>
            <w:tcBorders>
              <w:bottom w:val="single" w:sz="18" w:space="0" w:color="auto"/>
            </w:tcBorders>
          </w:tcPr>
          <w:p w14:paraId="021F0FE4" w14:textId="77777777" w:rsidR="00F20830" w:rsidRPr="006D388A" w:rsidRDefault="00F20830" w:rsidP="00F20830">
            <w:pPr>
              <w:pStyle w:val="TextBody"/>
              <w:rPr>
                <w:lang w:val="es-MX"/>
              </w:rPr>
            </w:pPr>
          </w:p>
        </w:tc>
      </w:tr>
      <w:tr w:rsidR="00F20830" w:rsidRPr="006D388A" w14:paraId="6FE7AA31" w14:textId="77777777" w:rsidTr="007A01D5">
        <w:trPr>
          <w:trHeight w:val="2149"/>
        </w:trPr>
        <w:tc>
          <w:tcPr>
            <w:tcW w:w="7283" w:type="dxa"/>
            <w:gridSpan w:val="3"/>
          </w:tcPr>
          <w:p w14:paraId="6EA54A0F" w14:textId="168187E1" w:rsidR="00F20830" w:rsidRPr="006D388A" w:rsidRDefault="00F20830" w:rsidP="00F20830">
            <w:pPr>
              <w:pStyle w:val="Titlenormal"/>
              <w:rPr>
                <w:lang w:val="es-MX"/>
              </w:rPr>
            </w:pPr>
            <w:r w:rsidRPr="006D388A">
              <w:rPr>
                <w:lang w:val="es-MX"/>
              </w:rPr>
              <w:t>LISTA DE VERIFICACIÓN PARA EL ESTUDIANTE</w:t>
            </w:r>
          </w:p>
          <w:p w14:paraId="076A952A" w14:textId="3398A73D" w:rsidR="00227E71" w:rsidRPr="006D388A" w:rsidRDefault="00227E71" w:rsidP="00227E71">
            <w:pPr>
              <w:pStyle w:val="ListParagraph"/>
              <w:numPr>
                <w:ilvl w:val="0"/>
                <w:numId w:val="33"/>
              </w:numPr>
              <w:rPr>
                <w:lang w:val="es-MX"/>
              </w:rPr>
            </w:pPr>
            <w:bookmarkStart w:id="0" w:name="_Hlk171494916"/>
            <w:r w:rsidRPr="006D388A">
              <w:rPr>
                <w:lang w:val="es-MX"/>
              </w:rPr>
              <w:t>Compara las concesiones de ayuda financiera de las universidades y decide a qué universidad asistirás. Sé realista: ¿calculaste todos los gastos de la universidad y recibiste suficiente ayuda económica para cubrirlos?  Notifica tu decisión a todas las universidades antes del 1.º de mayo.</w:t>
            </w:r>
          </w:p>
          <w:p w14:paraId="1EE92A9A" w14:textId="1BEEAF8E" w:rsidR="00227E71" w:rsidRPr="006D388A" w:rsidRDefault="00227E71" w:rsidP="00227E71">
            <w:pPr>
              <w:pStyle w:val="ListParagraph"/>
              <w:numPr>
                <w:ilvl w:val="0"/>
                <w:numId w:val="33"/>
              </w:numPr>
              <w:rPr>
                <w:lang w:val="es-MX"/>
              </w:rPr>
            </w:pPr>
            <w:r w:rsidRPr="006D388A">
              <w:rPr>
                <w:lang w:val="es-MX"/>
              </w:rPr>
              <w:t xml:space="preserve">Cuando decidas a qué universidad quieres asistir, notifica a esa universidad tu compromiso y envía cualquier depósito económico requerido. Muchas universidades exigen esta notificación y el depósito antes del 1.º de mayo. </w:t>
            </w:r>
            <w:r w:rsidR="00720503">
              <w:rPr>
                <w:lang w:val="es-MX"/>
              </w:rPr>
              <w:br/>
            </w:r>
            <w:r w:rsidRPr="006D388A">
              <w:rPr>
                <w:lang w:val="es-MX"/>
              </w:rPr>
              <w:t>Si el depósito es un problema, llama a la oficina de ayuda financiera para solicitar ayuda. Además, asegúrate de enviar todos los documentos que solicite la universidad.</w:t>
            </w:r>
          </w:p>
          <w:p w14:paraId="72140E37" w14:textId="77777777" w:rsidR="00227E71" w:rsidRPr="006D388A" w:rsidRDefault="00227E71" w:rsidP="00227E71">
            <w:pPr>
              <w:pStyle w:val="ListParagraph"/>
              <w:numPr>
                <w:ilvl w:val="0"/>
                <w:numId w:val="33"/>
              </w:numPr>
              <w:rPr>
                <w:lang w:val="es-MX"/>
              </w:rPr>
            </w:pPr>
            <w:r w:rsidRPr="006D388A">
              <w:rPr>
                <w:lang w:val="es-MX"/>
              </w:rPr>
              <w:t>¡Mantén tus calificaciones altas! No dejes que se te pasen tus tareas y deberes.</w:t>
            </w:r>
          </w:p>
          <w:bookmarkEnd w:id="0"/>
          <w:p w14:paraId="19CD1360" w14:textId="3D191C97" w:rsidR="00F20830" w:rsidRPr="006D388A" w:rsidRDefault="00F20830" w:rsidP="00227E71">
            <w:pPr>
              <w:rPr>
                <w:lang w:val="es-MX"/>
              </w:rPr>
            </w:pPr>
          </w:p>
        </w:tc>
        <w:tc>
          <w:tcPr>
            <w:tcW w:w="270" w:type="dxa"/>
            <w:vMerge w:val="restart"/>
            <w:tcBorders>
              <w:right w:val="single" w:sz="18" w:space="0" w:color="auto"/>
            </w:tcBorders>
          </w:tcPr>
          <w:p w14:paraId="6B6D195F" w14:textId="77777777" w:rsidR="00F20830" w:rsidRPr="006D388A" w:rsidRDefault="00F20830" w:rsidP="00F20830">
            <w:pPr>
              <w:rPr>
                <w:sz w:val="10"/>
                <w:szCs w:val="10"/>
                <w:lang w:val="es-MX"/>
              </w:rPr>
            </w:pPr>
          </w:p>
        </w:tc>
        <w:tc>
          <w:tcPr>
            <w:tcW w:w="236" w:type="dxa"/>
            <w:vMerge w:val="restart"/>
            <w:tcBorders>
              <w:left w:val="single" w:sz="18" w:space="0" w:color="auto"/>
            </w:tcBorders>
          </w:tcPr>
          <w:p w14:paraId="53734700" w14:textId="77777777" w:rsidR="00F20830" w:rsidRPr="006D388A" w:rsidRDefault="00F20830" w:rsidP="00F20830">
            <w:pPr>
              <w:rPr>
                <w:sz w:val="10"/>
                <w:szCs w:val="10"/>
                <w:lang w:val="es-MX"/>
              </w:rPr>
            </w:pPr>
          </w:p>
        </w:tc>
        <w:tc>
          <w:tcPr>
            <w:tcW w:w="3001" w:type="dxa"/>
            <w:vMerge w:val="restart"/>
          </w:tcPr>
          <w:p w14:paraId="6EEFD6F7" w14:textId="1D490CDE" w:rsidR="00F20830" w:rsidRPr="006D388A" w:rsidRDefault="00F20830" w:rsidP="00083D87">
            <w:pPr>
              <w:pStyle w:val="Titlenormal"/>
              <w:rPr>
                <w:lang w:val="es-MX"/>
              </w:rPr>
            </w:pPr>
            <w:r w:rsidRPr="006D388A">
              <w:rPr>
                <w:lang w:val="es-MX"/>
              </w:rPr>
              <w:t>MITOS Y REALIDADES</w:t>
            </w:r>
          </w:p>
          <w:p w14:paraId="28B3A208" w14:textId="77777777" w:rsidR="00083D87" w:rsidRPr="006D388A" w:rsidRDefault="00083D87" w:rsidP="00083D87">
            <w:pPr>
              <w:pStyle w:val="TextBody"/>
              <w:rPr>
                <w:b/>
                <w:bCs/>
                <w:lang w:val="es-MX"/>
              </w:rPr>
            </w:pPr>
            <w:r w:rsidRPr="006D388A">
              <w:rPr>
                <w:b/>
                <w:lang w:val="es-MX"/>
              </w:rPr>
              <w:t xml:space="preserve">MITO: </w:t>
            </w:r>
            <w:r w:rsidRPr="006D388A">
              <w:rPr>
                <w:lang w:val="es-MX"/>
              </w:rPr>
              <w:t>Los profesores universitarios nunca llegan a conocer personalmente a sus alumnos.</w:t>
            </w:r>
          </w:p>
          <w:p w14:paraId="742C1C06" w14:textId="1E2140B5" w:rsidR="00083D87" w:rsidRPr="006D388A" w:rsidRDefault="00083D87" w:rsidP="00083D87">
            <w:pPr>
              <w:pStyle w:val="TextBody"/>
              <w:rPr>
                <w:lang w:val="es-MX"/>
              </w:rPr>
            </w:pPr>
            <w:r w:rsidRPr="006D388A">
              <w:rPr>
                <w:b/>
                <w:lang w:val="es-MX"/>
              </w:rPr>
              <w:t xml:space="preserve">REALIDAD: </w:t>
            </w:r>
            <w:r w:rsidRPr="006D388A">
              <w:rPr>
                <w:lang w:val="es-MX"/>
              </w:rPr>
              <w:t xml:space="preserve">Los estudiantes desarrollan relaciones con sus profesores como lo hacían con sus profesores en la preparatoria. Por ejemplo, al hablar con ellos antes, después o durante la clase, los estudiantes universitarios pueden desarrollar relaciones con sus profesores. Aunque los instructores también son personas muy ocupadas, están ahí para ayudar a los estudiantes a aprender. </w:t>
            </w:r>
          </w:p>
          <w:p w14:paraId="2AE4C7FD" w14:textId="0E2350C8" w:rsidR="00083D87" w:rsidRPr="006D388A" w:rsidRDefault="00083D87" w:rsidP="00083D87">
            <w:pPr>
              <w:pStyle w:val="TextBody"/>
              <w:rPr>
                <w:lang w:val="es-MX"/>
              </w:rPr>
            </w:pPr>
            <w:r w:rsidRPr="006D388A">
              <w:rPr>
                <w:lang w:val="es-MX"/>
              </w:rPr>
              <w:t xml:space="preserve">Según el tamaño de la clase universitaria, los estudiantes podrían tener acceso a su profesor en clase. Sin embargo, cada profesor también tendrá horarios de oficina durante los cuales los estudiantes pueden visitarlos. </w:t>
            </w:r>
          </w:p>
          <w:p w14:paraId="69393F44" w14:textId="1327164C" w:rsidR="005D348F" w:rsidRPr="006D388A" w:rsidRDefault="00083D87" w:rsidP="00083D87">
            <w:pPr>
              <w:pStyle w:val="TextBody"/>
              <w:rPr>
                <w:lang w:val="es-MX"/>
              </w:rPr>
            </w:pPr>
            <w:r w:rsidRPr="006D388A">
              <w:rPr>
                <w:lang w:val="es-MX"/>
              </w:rPr>
              <w:t xml:space="preserve">Las relaciones con los profesores también son significativas cuando los estudiantes solicitan cartas de recomendación para becas, prácticas, estudios de posgrado u otras actividades. </w:t>
            </w:r>
          </w:p>
          <w:p w14:paraId="08779DA6" w14:textId="5D8F21BF" w:rsidR="00F20830" w:rsidRPr="006D388A" w:rsidRDefault="00720503" w:rsidP="00083D87">
            <w:pPr>
              <w:pStyle w:val="TextBody"/>
              <w:rPr>
                <w:lang w:val="es-MX"/>
              </w:rPr>
            </w:pPr>
            <w:r w:rsidRPr="006D388A">
              <w:rPr>
                <w:noProof/>
                <w:lang w:val="es-MX"/>
              </w:rPr>
              <w:drawing>
                <wp:anchor distT="0" distB="0" distL="114300" distR="114300" simplePos="0" relativeHeight="251660800" behindDoc="0" locked="0" layoutInCell="1" allowOverlap="1" wp14:anchorId="460C8A50" wp14:editId="0C22A062">
                  <wp:simplePos x="0" y="0"/>
                  <wp:positionH relativeFrom="margin">
                    <wp:posOffset>606425</wp:posOffset>
                  </wp:positionH>
                  <wp:positionV relativeFrom="margin">
                    <wp:posOffset>5696061</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6D388A" w14:paraId="189CF860" w14:textId="77777777" w:rsidTr="00035894">
        <w:trPr>
          <w:trHeight w:val="67"/>
        </w:trPr>
        <w:tc>
          <w:tcPr>
            <w:tcW w:w="3678" w:type="dxa"/>
          </w:tcPr>
          <w:p w14:paraId="518A0B8D" w14:textId="20370C86" w:rsidR="00F20830" w:rsidRPr="006D388A" w:rsidRDefault="00F20830" w:rsidP="0032348C">
            <w:pPr>
              <w:pStyle w:val="TextBody"/>
              <w:spacing w:after="0"/>
              <w:rPr>
                <w:lang w:val="es-MX"/>
              </w:rPr>
            </w:pPr>
          </w:p>
        </w:tc>
        <w:tc>
          <w:tcPr>
            <w:tcW w:w="277" w:type="dxa"/>
          </w:tcPr>
          <w:p w14:paraId="37EA0407" w14:textId="77777777" w:rsidR="00F20830" w:rsidRPr="006D388A" w:rsidRDefault="00F20830" w:rsidP="00F20830">
            <w:pPr>
              <w:pStyle w:val="TextBody"/>
              <w:rPr>
                <w:lang w:val="es-MX"/>
              </w:rPr>
            </w:pPr>
          </w:p>
        </w:tc>
        <w:tc>
          <w:tcPr>
            <w:tcW w:w="3328" w:type="dxa"/>
          </w:tcPr>
          <w:p w14:paraId="27A95849" w14:textId="072D1BF7" w:rsidR="00F20830" w:rsidRPr="006D388A" w:rsidRDefault="00F20830" w:rsidP="00F20830">
            <w:pPr>
              <w:pStyle w:val="TextBody"/>
              <w:rPr>
                <w:lang w:val="es-MX"/>
              </w:rPr>
            </w:pPr>
          </w:p>
        </w:tc>
        <w:tc>
          <w:tcPr>
            <w:tcW w:w="270" w:type="dxa"/>
            <w:vMerge/>
            <w:tcBorders>
              <w:right w:val="single" w:sz="18" w:space="0" w:color="auto"/>
            </w:tcBorders>
          </w:tcPr>
          <w:p w14:paraId="26ACB6E5" w14:textId="77777777" w:rsidR="00F20830" w:rsidRPr="006D388A" w:rsidRDefault="00F20830" w:rsidP="00F20830">
            <w:pPr>
              <w:pStyle w:val="TextBody"/>
              <w:rPr>
                <w:lang w:val="es-MX"/>
              </w:rPr>
            </w:pPr>
          </w:p>
        </w:tc>
        <w:tc>
          <w:tcPr>
            <w:tcW w:w="236" w:type="dxa"/>
            <w:vMerge/>
            <w:tcBorders>
              <w:left w:val="single" w:sz="18" w:space="0" w:color="auto"/>
            </w:tcBorders>
          </w:tcPr>
          <w:p w14:paraId="4AF148E1" w14:textId="77777777" w:rsidR="00F20830" w:rsidRPr="006D388A" w:rsidRDefault="00F20830" w:rsidP="00F20830">
            <w:pPr>
              <w:pStyle w:val="TextBody"/>
              <w:rPr>
                <w:lang w:val="es-MX"/>
              </w:rPr>
            </w:pPr>
          </w:p>
        </w:tc>
        <w:tc>
          <w:tcPr>
            <w:tcW w:w="3001" w:type="dxa"/>
            <w:vMerge/>
          </w:tcPr>
          <w:p w14:paraId="2585C9D7" w14:textId="77777777" w:rsidR="00F20830" w:rsidRPr="006D388A" w:rsidRDefault="00F20830" w:rsidP="00F20830">
            <w:pPr>
              <w:pStyle w:val="TextBody"/>
              <w:rPr>
                <w:lang w:val="es-MX"/>
              </w:rPr>
            </w:pPr>
          </w:p>
        </w:tc>
      </w:tr>
      <w:tr w:rsidR="00F20830" w:rsidRPr="006D388A" w14:paraId="5FF5C757" w14:textId="77777777" w:rsidTr="007A01D5">
        <w:trPr>
          <w:trHeight w:val="727"/>
        </w:trPr>
        <w:tc>
          <w:tcPr>
            <w:tcW w:w="7283" w:type="dxa"/>
            <w:gridSpan w:val="3"/>
          </w:tcPr>
          <w:p w14:paraId="4D7751F6" w14:textId="3E84CE55" w:rsidR="00F20830" w:rsidRPr="006D388A" w:rsidRDefault="00F20830" w:rsidP="0032348C">
            <w:pPr>
              <w:pStyle w:val="Titlenormal"/>
              <w:spacing w:before="0"/>
              <w:rPr>
                <w:lang w:val="es-MX"/>
              </w:rPr>
            </w:pPr>
            <w:r w:rsidRPr="006D388A">
              <w:rPr>
                <w:lang w:val="es-MX"/>
              </w:rPr>
              <w:t xml:space="preserve">LISTA DE VERIFICACIÓN PARA LA FAMILIA  </w:t>
            </w:r>
          </w:p>
          <w:p w14:paraId="41B15C70" w14:textId="7546A044" w:rsidR="00227E71" w:rsidRPr="006D388A" w:rsidRDefault="00227E71" w:rsidP="00227E71">
            <w:pPr>
              <w:pStyle w:val="ListParagraph"/>
              <w:numPr>
                <w:ilvl w:val="0"/>
                <w:numId w:val="32"/>
              </w:numPr>
              <w:rPr>
                <w:lang w:val="es-MX"/>
              </w:rPr>
            </w:pPr>
            <w:bookmarkStart w:id="1" w:name="_Hlk171494935"/>
            <w:r w:rsidRPr="006D388A">
              <w:rPr>
                <w:lang w:val="es-MX"/>
              </w:rPr>
              <w:t xml:space="preserve">Ayuden a su hijo a procesar las respuestas de las universidades. En cuanto su hijo reciba las respuestas de las universidades sobre la admisión y ayuda financiera, necesitará su apoyo para decidir qué hacer. </w:t>
            </w:r>
          </w:p>
          <w:p w14:paraId="4C33FBA5" w14:textId="2FC35AD9" w:rsidR="00227E71" w:rsidRPr="006D388A" w:rsidRDefault="00227E71" w:rsidP="00227E71">
            <w:pPr>
              <w:pStyle w:val="ListParagraph"/>
              <w:numPr>
                <w:ilvl w:val="0"/>
                <w:numId w:val="32"/>
              </w:numPr>
              <w:rPr>
                <w:lang w:val="es-MX"/>
              </w:rPr>
            </w:pPr>
            <w:r w:rsidRPr="006D388A">
              <w:rPr>
                <w:lang w:val="es-MX"/>
              </w:rPr>
              <w:t>Revisen juntos las ofertas de ayuda financiera. Su hijo de 12.º grado necesitará su ayuda para leer las cartas de concesión de ayuda financiera y determinar qué paquete le conviene más. Asegúrense de que su hijo preste atención y cumpla las fechas límite para la aceptación.</w:t>
            </w:r>
          </w:p>
          <w:p w14:paraId="70988759" w14:textId="538D0588" w:rsidR="00F20830" w:rsidRPr="006D388A" w:rsidRDefault="00227E71" w:rsidP="00C342D3">
            <w:pPr>
              <w:pStyle w:val="ListParagraph"/>
              <w:numPr>
                <w:ilvl w:val="0"/>
                <w:numId w:val="32"/>
              </w:numPr>
              <w:rPr>
                <w:lang w:val="es-MX"/>
              </w:rPr>
            </w:pPr>
            <w:r w:rsidRPr="006D388A">
              <w:rPr>
                <w:lang w:val="es-MX"/>
              </w:rPr>
              <w:t>Ayuden a su hijo a realizar los trámites para aceptar la oferta de admisión de una universidad. Una vez que su hijo decida a qué universidad asistir, debe aceptar la oferta de la universidad, enviar por correo un depósito para la colegiatura y presentar la demás documentación requerida. Si el depósito es un problema, llamen a la oficina de ayuda financiera para solicitar ayuda.</w:t>
            </w:r>
            <w:bookmarkEnd w:id="1"/>
          </w:p>
        </w:tc>
        <w:tc>
          <w:tcPr>
            <w:tcW w:w="270" w:type="dxa"/>
            <w:vMerge/>
            <w:tcBorders>
              <w:right w:val="single" w:sz="18" w:space="0" w:color="auto"/>
            </w:tcBorders>
          </w:tcPr>
          <w:p w14:paraId="268D509A" w14:textId="77777777" w:rsidR="00F20830" w:rsidRPr="006D388A" w:rsidRDefault="00F20830" w:rsidP="00F20830">
            <w:pPr>
              <w:rPr>
                <w:sz w:val="10"/>
                <w:szCs w:val="10"/>
                <w:lang w:val="es-MX"/>
              </w:rPr>
            </w:pPr>
          </w:p>
        </w:tc>
        <w:tc>
          <w:tcPr>
            <w:tcW w:w="236" w:type="dxa"/>
            <w:vMerge/>
            <w:tcBorders>
              <w:left w:val="single" w:sz="18" w:space="0" w:color="auto"/>
            </w:tcBorders>
          </w:tcPr>
          <w:p w14:paraId="1659F3BF" w14:textId="77777777" w:rsidR="00F20830" w:rsidRPr="006D388A" w:rsidRDefault="00F20830" w:rsidP="00F20830">
            <w:pPr>
              <w:rPr>
                <w:sz w:val="10"/>
                <w:szCs w:val="10"/>
                <w:lang w:val="es-MX"/>
              </w:rPr>
            </w:pPr>
          </w:p>
        </w:tc>
        <w:tc>
          <w:tcPr>
            <w:tcW w:w="3001" w:type="dxa"/>
            <w:vMerge/>
          </w:tcPr>
          <w:p w14:paraId="13E8AB06" w14:textId="77777777" w:rsidR="00F20830" w:rsidRPr="006D388A" w:rsidRDefault="00F20830" w:rsidP="00F20830">
            <w:pPr>
              <w:pStyle w:val="TextBody"/>
              <w:rPr>
                <w:lang w:val="es-MX"/>
              </w:rPr>
            </w:pPr>
          </w:p>
        </w:tc>
      </w:tr>
    </w:tbl>
    <w:p w14:paraId="4229C740" w14:textId="43CF2146" w:rsidR="00A40213" w:rsidRPr="006D388A" w:rsidRDefault="00A40213" w:rsidP="00F263B8">
      <w:pPr>
        <w:rPr>
          <w:lang w:val="es-MX"/>
        </w:rPr>
      </w:pPr>
    </w:p>
    <w:sectPr w:rsidR="00A40213" w:rsidRPr="006D388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FF5C" w14:textId="77777777" w:rsidR="007F262D" w:rsidRDefault="007F262D" w:rsidP="001D6100">
      <w:r>
        <w:separator/>
      </w:r>
    </w:p>
  </w:endnote>
  <w:endnote w:type="continuationSeparator" w:id="0">
    <w:p w14:paraId="1A4D1208" w14:textId="77777777" w:rsidR="007F262D" w:rsidRDefault="007F262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955A" w14:textId="77777777" w:rsidR="007F262D" w:rsidRDefault="007F262D" w:rsidP="001D6100">
      <w:r>
        <w:separator/>
      </w:r>
    </w:p>
  </w:footnote>
  <w:footnote w:type="continuationSeparator" w:id="0">
    <w:p w14:paraId="4BECD090" w14:textId="77777777" w:rsidR="007F262D" w:rsidRDefault="007F262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5"/>
  </w:num>
  <w:num w:numId="4">
    <w:abstractNumId w:val="31"/>
  </w:num>
  <w:num w:numId="5">
    <w:abstractNumId w:val="15"/>
  </w:num>
  <w:num w:numId="6">
    <w:abstractNumId w:val="5"/>
  </w:num>
  <w:num w:numId="7">
    <w:abstractNumId w:val="12"/>
  </w:num>
  <w:num w:numId="8">
    <w:abstractNumId w:val="29"/>
  </w:num>
  <w:num w:numId="9">
    <w:abstractNumId w:val="18"/>
  </w:num>
  <w:num w:numId="10">
    <w:abstractNumId w:val="32"/>
  </w:num>
  <w:num w:numId="11">
    <w:abstractNumId w:val="19"/>
  </w:num>
  <w:num w:numId="12">
    <w:abstractNumId w:val="30"/>
  </w:num>
  <w:num w:numId="13">
    <w:abstractNumId w:val="1"/>
  </w:num>
  <w:num w:numId="14">
    <w:abstractNumId w:val="7"/>
  </w:num>
  <w:num w:numId="15">
    <w:abstractNumId w:val="22"/>
  </w:num>
  <w:num w:numId="16">
    <w:abstractNumId w:val="26"/>
  </w:num>
  <w:num w:numId="17">
    <w:abstractNumId w:val="4"/>
  </w:num>
  <w:num w:numId="18">
    <w:abstractNumId w:val="21"/>
  </w:num>
  <w:num w:numId="19">
    <w:abstractNumId w:val="10"/>
  </w:num>
  <w:num w:numId="20">
    <w:abstractNumId w:val="3"/>
  </w:num>
  <w:num w:numId="21">
    <w:abstractNumId w:val="28"/>
  </w:num>
  <w:num w:numId="22">
    <w:abstractNumId w:val="27"/>
  </w:num>
  <w:num w:numId="23">
    <w:abstractNumId w:val="11"/>
  </w:num>
  <w:num w:numId="24">
    <w:abstractNumId w:val="20"/>
  </w:num>
  <w:num w:numId="25">
    <w:abstractNumId w:val="24"/>
  </w:num>
  <w:num w:numId="26">
    <w:abstractNumId w:val="13"/>
  </w:num>
  <w:num w:numId="27">
    <w:abstractNumId w:val="0"/>
  </w:num>
  <w:num w:numId="28">
    <w:abstractNumId w:val="14"/>
  </w:num>
  <w:num w:numId="29">
    <w:abstractNumId w:val="23"/>
  </w:num>
  <w:num w:numId="30">
    <w:abstractNumId w:val="2"/>
  </w:num>
  <w:num w:numId="31">
    <w:abstractNumId w:val="8"/>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5A1"/>
    <w:rsid w:val="00006A77"/>
    <w:rsid w:val="00035894"/>
    <w:rsid w:val="00060922"/>
    <w:rsid w:val="00077661"/>
    <w:rsid w:val="00083D87"/>
    <w:rsid w:val="00093394"/>
    <w:rsid w:val="000A06A1"/>
    <w:rsid w:val="000B7BB9"/>
    <w:rsid w:val="000F0B35"/>
    <w:rsid w:val="0013534A"/>
    <w:rsid w:val="00173094"/>
    <w:rsid w:val="001878B6"/>
    <w:rsid w:val="001A1B0F"/>
    <w:rsid w:val="001C2F36"/>
    <w:rsid w:val="001C3F0B"/>
    <w:rsid w:val="001C5DB1"/>
    <w:rsid w:val="001D6100"/>
    <w:rsid w:val="001E27D9"/>
    <w:rsid w:val="00221E59"/>
    <w:rsid w:val="00227E71"/>
    <w:rsid w:val="00235CED"/>
    <w:rsid w:val="00242CD1"/>
    <w:rsid w:val="00263BF4"/>
    <w:rsid w:val="00274D60"/>
    <w:rsid w:val="00282446"/>
    <w:rsid w:val="002941DC"/>
    <w:rsid w:val="002A2284"/>
    <w:rsid w:val="002B6C2F"/>
    <w:rsid w:val="002C4856"/>
    <w:rsid w:val="002D46AD"/>
    <w:rsid w:val="00302C98"/>
    <w:rsid w:val="00304A4C"/>
    <w:rsid w:val="00315984"/>
    <w:rsid w:val="0032348C"/>
    <w:rsid w:val="003411D3"/>
    <w:rsid w:val="0034461A"/>
    <w:rsid w:val="0036208F"/>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25A5C"/>
    <w:rsid w:val="00434553"/>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D388A"/>
    <w:rsid w:val="006F51A2"/>
    <w:rsid w:val="007118ED"/>
    <w:rsid w:val="00720503"/>
    <w:rsid w:val="00721089"/>
    <w:rsid w:val="00735F99"/>
    <w:rsid w:val="007369B0"/>
    <w:rsid w:val="00763F6E"/>
    <w:rsid w:val="0078163A"/>
    <w:rsid w:val="00793BD6"/>
    <w:rsid w:val="00794584"/>
    <w:rsid w:val="007A01D5"/>
    <w:rsid w:val="007D2AC9"/>
    <w:rsid w:val="007E7C32"/>
    <w:rsid w:val="007F262D"/>
    <w:rsid w:val="00832D90"/>
    <w:rsid w:val="0086583D"/>
    <w:rsid w:val="0087169C"/>
    <w:rsid w:val="0088584D"/>
    <w:rsid w:val="008D4894"/>
    <w:rsid w:val="008D6DD6"/>
    <w:rsid w:val="008E1844"/>
    <w:rsid w:val="008E57BD"/>
    <w:rsid w:val="00914CE6"/>
    <w:rsid w:val="0092379A"/>
    <w:rsid w:val="009357EB"/>
    <w:rsid w:val="009752A7"/>
    <w:rsid w:val="009913C5"/>
    <w:rsid w:val="009A219F"/>
    <w:rsid w:val="009B6996"/>
    <w:rsid w:val="009D6EE0"/>
    <w:rsid w:val="009E509A"/>
    <w:rsid w:val="00A2081B"/>
    <w:rsid w:val="00A40213"/>
    <w:rsid w:val="00A55C9A"/>
    <w:rsid w:val="00A75BDB"/>
    <w:rsid w:val="00A8645A"/>
    <w:rsid w:val="00A90486"/>
    <w:rsid w:val="00AA5A4E"/>
    <w:rsid w:val="00AA69D0"/>
    <w:rsid w:val="00AB137A"/>
    <w:rsid w:val="00AE581C"/>
    <w:rsid w:val="00AF2B0A"/>
    <w:rsid w:val="00AF5233"/>
    <w:rsid w:val="00B0034E"/>
    <w:rsid w:val="00B00C2B"/>
    <w:rsid w:val="00B056FD"/>
    <w:rsid w:val="00B20006"/>
    <w:rsid w:val="00B27754"/>
    <w:rsid w:val="00B35EDB"/>
    <w:rsid w:val="00B36600"/>
    <w:rsid w:val="00B5429C"/>
    <w:rsid w:val="00B7341E"/>
    <w:rsid w:val="00BD5E53"/>
    <w:rsid w:val="00BF1870"/>
    <w:rsid w:val="00C342D3"/>
    <w:rsid w:val="00C37449"/>
    <w:rsid w:val="00CD05DA"/>
    <w:rsid w:val="00CD5E35"/>
    <w:rsid w:val="00CF03F0"/>
    <w:rsid w:val="00D22CF9"/>
    <w:rsid w:val="00D305C1"/>
    <w:rsid w:val="00D46CD2"/>
    <w:rsid w:val="00D60D51"/>
    <w:rsid w:val="00DF4B6A"/>
    <w:rsid w:val="00E12655"/>
    <w:rsid w:val="00E266E5"/>
    <w:rsid w:val="00E2788F"/>
    <w:rsid w:val="00E351BF"/>
    <w:rsid w:val="00E3701A"/>
    <w:rsid w:val="00E52F76"/>
    <w:rsid w:val="00E75770"/>
    <w:rsid w:val="00E81FD1"/>
    <w:rsid w:val="00E979F7"/>
    <w:rsid w:val="00EB0563"/>
    <w:rsid w:val="00EE662D"/>
    <w:rsid w:val="00EE6910"/>
    <w:rsid w:val="00F20830"/>
    <w:rsid w:val="00F263B8"/>
    <w:rsid w:val="00FD11AA"/>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C342D3"/>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06A77"/>
    <w:rsid w:val="00022DE6"/>
    <w:rsid w:val="00046253"/>
    <w:rsid w:val="000E05F4"/>
    <w:rsid w:val="002A38AC"/>
    <w:rsid w:val="002C6ECC"/>
    <w:rsid w:val="0036208F"/>
    <w:rsid w:val="0054736B"/>
    <w:rsid w:val="00725E3D"/>
    <w:rsid w:val="008E52D6"/>
    <w:rsid w:val="009D04E1"/>
    <w:rsid w:val="009F1B4B"/>
    <w:rsid w:val="00A20D2B"/>
    <w:rsid w:val="00B97DD2"/>
    <w:rsid w:val="00BD06C3"/>
    <w:rsid w:val="00DF7BFC"/>
    <w:rsid w:val="00F041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63D84543-DCEB-4C53-B69D-6D311F04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4275</Characters>
  <Application>Microsoft Office Word</Application>
  <DocSecurity>0</DocSecurity>
  <Lines>251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2024-07-02T15:59:00Z</dcterms:created>
  <dcterms:modified xsi:type="dcterms:W3CDTF">2024-09-10T16:18:00Z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