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9160D3" w:rsidP="001B2141">
      <w:r>
        <w:rPr>
          <w:noProof/>
        </w:rPr>
        <mc:AlternateContent>
          <mc:Choice Requires="wps">
            <w:drawing>
              <wp:anchor distT="0" distB="0" distL="114300" distR="114300" simplePos="0" relativeHeight="251697152" behindDoc="0" locked="0" layoutInCell="1" allowOverlap="1" wp14:anchorId="0EB55867" wp14:editId="5E0D11FA">
                <wp:simplePos x="0" y="0"/>
                <wp:positionH relativeFrom="column">
                  <wp:posOffset>0</wp:posOffset>
                </wp:positionH>
                <wp:positionV relativeFrom="paragraph">
                  <wp:posOffset>245110</wp:posOffset>
                </wp:positionV>
                <wp:extent cx="5486400" cy="6720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20840"/>
                        </a:xfrm>
                        <a:prstGeom prst="rect">
                          <a:avLst/>
                        </a:prstGeom>
                        <a:noFill/>
                        <a:ln w="9525">
                          <a:noFill/>
                          <a:miter lim="800000"/>
                          <a:headEnd/>
                          <a:tailEnd/>
                        </a:ln>
                      </wps:spPr>
                      <wps:txbx>
                        <w:txbxContent>
                          <w:p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rsidR="007E0452" w:rsidRPr="009C38EA" w:rsidRDefault="007E0452" w:rsidP="009C38EA">
                            <w:pPr>
                              <w:pStyle w:val="NoSpacing"/>
                              <w:rPr>
                                <w:sz w:val="24"/>
                                <w:szCs w:val="24"/>
                              </w:rPr>
                            </w:pPr>
                          </w:p>
                          <w:p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rsidR="007E0452" w:rsidRPr="009C38EA" w:rsidRDefault="007E0452" w:rsidP="009C38EA">
                            <w:pPr>
                              <w:pStyle w:val="NoSpacing"/>
                              <w:rPr>
                                <w:sz w:val="24"/>
                                <w:szCs w:val="24"/>
                              </w:rPr>
                            </w:pPr>
                          </w:p>
                          <w:p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rsidR="000E0CED" w:rsidRPr="009C38EA" w:rsidRDefault="000E0CED" w:rsidP="009C38EA">
                            <w:pPr>
                              <w:pStyle w:val="NAV101-OrderedList"/>
                              <w:spacing w:after="0"/>
                              <w:rPr>
                                <w:rFonts w:asciiTheme="minorHAnsi" w:hAnsiTheme="minorHAnsi"/>
                                <w:sz w:val="24"/>
                                <w:szCs w:val="24"/>
                              </w:rPr>
                            </w:pPr>
                          </w:p>
                          <w:p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2"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3"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4"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bookmarkStart w:id="0" w:name="_GoBack"/>
                            <w:r w:rsidRPr="00C10006">
                              <w:rPr>
                                <w:rStyle w:val="Hyperlink"/>
                                <w:rFonts w:eastAsiaTheme="majorEastAsia"/>
                              </w:rPr>
                              <w:t xml:space="preserve">: </w:t>
                            </w:r>
                            <w:hyperlink r:id="rId15" w:history="1">
                              <w:r w:rsidR="00C10006" w:rsidRPr="00C10006">
                                <w:rPr>
                                  <w:rStyle w:val="Hyperlink"/>
                                  <w:rFonts w:asciiTheme="minorHAnsi" w:eastAsiaTheme="majorEastAsia" w:hAnsiTheme="minorHAnsi"/>
                                  <w:sz w:val="24"/>
                                  <w:szCs w:val="24"/>
                                </w:rPr>
                                <w:t>http://official-asvab.com/applicants.htm</w:t>
                              </w:r>
                            </w:hyperlink>
                            <w:bookmarkEnd w:id="0"/>
                          </w:p>
                          <w:p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 xml:space="preserve">Talk to a guidance counselor to see if </w:t>
                            </w:r>
                            <w:proofErr w:type="gramStart"/>
                            <w:r w:rsidR="009160D3" w:rsidRPr="009C38EA">
                              <w:rPr>
                                <w:rFonts w:asciiTheme="minorHAnsi" w:hAnsiTheme="minorHAnsi" w:cs="Arial"/>
                                <w:bCs/>
                                <w:sz w:val="24"/>
                                <w:szCs w:val="24"/>
                              </w:rPr>
                              <w:t>your</w:t>
                            </w:r>
                            <w:proofErr w:type="gramEnd"/>
                            <w:r w:rsidR="009160D3" w:rsidRPr="009C38EA">
                              <w:rPr>
                                <w:rFonts w:asciiTheme="minorHAnsi" w:hAnsiTheme="minorHAnsi" w:cs="Arial"/>
                                <w:bCs/>
                                <w:sz w:val="24"/>
                                <w:szCs w:val="24"/>
                              </w:rPr>
                              <w:t xml:space="preserve"> junior is eligible for fee waivers.</w:t>
                            </w:r>
                          </w:p>
                          <w:p w:rsidR="00972CAE" w:rsidRPr="009C38EA" w:rsidRDefault="00972CAE" w:rsidP="009C38EA">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5867" id="Text Box 2" o:spid="_x0000_s1028" type="#_x0000_t202" style="position:absolute;margin-left:0;margin-top:19.3pt;width:6in;height:5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" filled="f" stroked="f">
                <v:textbox>
                  <w:txbxContent>
                    <w:p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rsidR="007E0452" w:rsidRPr="009C38EA" w:rsidRDefault="007E0452" w:rsidP="009C38EA">
                      <w:pPr>
                        <w:pStyle w:val="NoSpacing"/>
                        <w:rPr>
                          <w:sz w:val="24"/>
                          <w:szCs w:val="24"/>
                        </w:rPr>
                      </w:pPr>
                    </w:p>
                    <w:p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rsidR="007E0452" w:rsidRPr="009C38EA" w:rsidRDefault="007E0452" w:rsidP="009C38EA">
                      <w:pPr>
                        <w:pStyle w:val="NoSpacing"/>
                        <w:rPr>
                          <w:sz w:val="24"/>
                          <w:szCs w:val="24"/>
                        </w:rPr>
                      </w:pPr>
                    </w:p>
                    <w:p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rsidR="000E0CED" w:rsidRPr="009C38EA" w:rsidRDefault="000E0CED" w:rsidP="009C38EA">
                      <w:pPr>
                        <w:pStyle w:val="NAV101-OrderedList"/>
                        <w:spacing w:after="0"/>
                        <w:rPr>
                          <w:rFonts w:asciiTheme="minorHAnsi" w:hAnsiTheme="minorHAnsi"/>
                          <w:sz w:val="24"/>
                          <w:szCs w:val="24"/>
                        </w:rPr>
                      </w:pPr>
                    </w:p>
                    <w:p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6"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7"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8"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bookmarkStart w:id="1" w:name="_GoBack"/>
                      <w:r w:rsidRPr="00C10006">
                        <w:rPr>
                          <w:rStyle w:val="Hyperlink"/>
                          <w:rFonts w:eastAsiaTheme="majorEastAsia"/>
                        </w:rPr>
                        <w:t xml:space="preserve">: </w:t>
                      </w:r>
                      <w:hyperlink r:id="rId19" w:history="1">
                        <w:r w:rsidR="00C10006" w:rsidRPr="00C10006">
                          <w:rPr>
                            <w:rStyle w:val="Hyperlink"/>
                            <w:rFonts w:asciiTheme="minorHAnsi" w:eastAsiaTheme="majorEastAsia" w:hAnsiTheme="minorHAnsi"/>
                            <w:sz w:val="24"/>
                            <w:szCs w:val="24"/>
                          </w:rPr>
                          <w:t>http://official-asvab.com/applicants.htm</w:t>
                        </w:r>
                      </w:hyperlink>
                      <w:bookmarkEnd w:id="1"/>
                    </w:p>
                    <w:p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 xml:space="preserve">Talk to a guidance counselor to see if </w:t>
                      </w:r>
                      <w:proofErr w:type="gramStart"/>
                      <w:r w:rsidR="009160D3" w:rsidRPr="009C38EA">
                        <w:rPr>
                          <w:rFonts w:asciiTheme="minorHAnsi" w:hAnsiTheme="minorHAnsi" w:cs="Arial"/>
                          <w:bCs/>
                          <w:sz w:val="24"/>
                          <w:szCs w:val="24"/>
                        </w:rPr>
                        <w:t>your</w:t>
                      </w:r>
                      <w:proofErr w:type="gramEnd"/>
                      <w:r w:rsidR="009160D3" w:rsidRPr="009C38EA">
                        <w:rPr>
                          <w:rFonts w:asciiTheme="minorHAnsi" w:hAnsiTheme="minorHAnsi" w:cs="Arial"/>
                          <w:bCs/>
                          <w:sz w:val="24"/>
                          <w:szCs w:val="24"/>
                        </w:rPr>
                        <w:t xml:space="preserve"> junior is eligible for fee waivers.</w:t>
                      </w:r>
                    </w:p>
                    <w:p w:rsidR="00972CAE" w:rsidRPr="009C38EA" w:rsidRDefault="00972CAE" w:rsidP="009C38EA">
                      <w:pPr>
                        <w:spacing w:line="240" w:lineRule="auto"/>
                        <w:rPr>
                          <w:sz w:val="24"/>
                          <w:szCs w:val="24"/>
                        </w:rPr>
                      </w:pPr>
                    </w:p>
                  </w:txbxContent>
                </v:textbox>
              </v:shape>
            </w:pict>
          </mc:Fallback>
        </mc:AlternateContent>
      </w:r>
      <w:r w:rsidR="00A404A6">
        <w:rPr>
          <w:noProof/>
        </w:rPr>
        <mc:AlternateContent>
          <mc:Choice Requires="wps">
            <w:drawing>
              <wp:anchor distT="0" distB="0" distL="114300" distR="114300" simplePos="0" relativeHeight="251700224" behindDoc="0" locked="0" layoutInCell="1" allowOverlap="1" wp14:anchorId="59B12FAB" wp14:editId="7D7EAA1B">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12FAB"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KfjwsyoAgAA0AUAAA4AAAAAAAAAAAAA&#10;AAAALgIAAGRycy9lMm9Eb2MueG1sUEsBAi0AFAAGAAgAAAAhAPLfm/veAAAACwEAAA8AAAAAAAAA&#10;AAAAAAAAAgUAAGRycy9kb3ducmV2LnhtbFBLBQYAAAAABAAEAPMAAAANBgAAAAA=&#10;" fillcolor="#c59dc3 [1945]" stroked="f" strokeweight=".5pt">
                <v:textbox>
                  <w:txbxContent>
                    <w:p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4E9DCCEC" wp14:editId="16CB5D64">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rsidR="00981E73" w:rsidRPr="00981E73" w:rsidRDefault="00981E73" w:rsidP="00981E73">
                            <w:pPr>
                              <w:pStyle w:val="NoSpacing"/>
                              <w:rPr>
                                <w:rFonts w:eastAsia="Times New Roman"/>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CEC"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rsidR="00981E73" w:rsidRPr="00981E73" w:rsidRDefault="00981E73" w:rsidP="00981E73">
                      <w:pPr>
                        <w:pStyle w:val="NoSpacing"/>
                        <w:rPr>
                          <w:rFonts w:eastAsia="Times New Roman"/>
                          <w:sz w:val="18"/>
                          <w:szCs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2293620</wp:posOffset>
                </wp:positionH>
                <wp:positionV relativeFrom="paragraph">
                  <wp:posOffset>68580</wp:posOffset>
                </wp:positionV>
                <wp:extent cx="4890135" cy="3337560"/>
                <wp:effectExtent l="0" t="0" r="247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756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6pt;margin-top:5.4pt;width:385.05pt;height:2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9C38EA" w:rsidP="001B2141">
      <w:r>
        <w:rPr>
          <w:noProof/>
        </w:rPr>
        <mc:AlternateContent>
          <mc:Choice Requires="wps">
            <w:drawing>
              <wp:anchor distT="0" distB="0" distL="114300" distR="114300" simplePos="0" relativeHeight="251669504" behindDoc="0" locked="0" layoutInCell="1" allowOverlap="1" wp14:anchorId="178200C4" wp14:editId="71641992">
                <wp:simplePos x="0" y="0"/>
                <wp:positionH relativeFrom="column">
                  <wp:posOffset>2371725</wp:posOffset>
                </wp:positionH>
                <wp:positionV relativeFrom="paragraph">
                  <wp:posOffset>3201035</wp:posOffset>
                </wp:positionV>
                <wp:extent cx="4921885" cy="46386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638675"/>
                        </a:xfrm>
                        <a:prstGeom prst="rect">
                          <a:avLst/>
                        </a:prstGeom>
                        <a:solidFill>
                          <a:schemeClr val="accent4">
                            <a:lumMod val="20000"/>
                            <a:lumOff val="80000"/>
                          </a:schemeClr>
                        </a:solidFill>
                        <a:ln w="9525">
                          <a:noFill/>
                          <a:miter lim="800000"/>
                          <a:headEnd/>
                          <a:tailEnd/>
                        </a:ln>
                      </wps:spPr>
                      <wps:txbx>
                        <w:txbxContent>
                          <w:p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rsidR="009C38EA" w:rsidRDefault="009C38EA"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0"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200C4" id="_x0000_s1035" type="#_x0000_t202" style="position:absolute;margin-left:186.75pt;margin-top:252.05pt;width:387.55pt;height:3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" fillcolor="#e1eee8 [663]" stroked="f">
                <v:textbox>
                  <w:txbxContent>
                    <w:p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rsidR="009C38EA" w:rsidRDefault="009C38EA"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1"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rsidR="00854BA0" w:rsidRPr="001D41E3" w:rsidRDefault="00854BA0" w:rsidP="00854BA0">
                      <w:pPr>
                        <w:widowControl w:val="0"/>
                        <w:ind w:left="360"/>
                        <w:rPr>
                          <w:b/>
                          <w:sz w:val="24"/>
                        </w:rPr>
                      </w:pPr>
                    </w:p>
                    <w:p w:rsidR="008A4FE5" w:rsidRPr="00661D0B" w:rsidRDefault="008A4FE5" w:rsidP="00661D0B">
                      <w:pPr>
                        <w:pStyle w:val="NoSpacing"/>
                        <w:rPr>
                          <w:rFonts w:ascii="Myriad Pro" w:hAnsi="Myriad Pro"/>
                          <w:sz w:val="32"/>
                        </w:rPr>
                      </w:pPr>
                    </w:p>
                  </w:txbxContent>
                </v:textbox>
              </v:shape>
            </w:pict>
          </mc:Fallback>
        </mc:AlternateContent>
      </w:r>
      <w:r w:rsidR="007D6AD6">
        <w:rPr>
          <w:noProof/>
        </w:rPr>
        <mc:AlternateContent>
          <mc:Choice Requires="wps">
            <w:drawing>
              <wp:anchor distT="0" distB="0" distL="114300" distR="114300" simplePos="0" relativeHeight="251663360" behindDoc="0" locked="0" layoutInCell="1" allowOverlap="1" wp14:anchorId="1B88F9EA" wp14:editId="70E8368F">
                <wp:simplePos x="0" y="0"/>
                <wp:positionH relativeFrom="column">
                  <wp:posOffset>7620</wp:posOffset>
                </wp:positionH>
                <wp:positionV relativeFrom="paragraph">
                  <wp:posOffset>219710</wp:posOffset>
                </wp:positionV>
                <wp:extent cx="2192655" cy="61137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192655" cy="611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rsidR="000E0CED" w:rsidRPr="000E0CED" w:rsidRDefault="000E0CED" w:rsidP="000E0CED">
                            <w:pPr>
                              <w:spacing w:after="0"/>
                              <w:rPr>
                                <w:rFonts w:cs="Arial"/>
                                <w:sz w:val="26"/>
                                <w:szCs w:val="26"/>
                              </w:rPr>
                            </w:pPr>
                          </w:p>
                          <w:p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rsidR="000E0CED" w:rsidRPr="000E0CED" w:rsidRDefault="000E0CED" w:rsidP="000E0CED">
                            <w:pPr>
                              <w:spacing w:after="0"/>
                              <w:rPr>
                                <w:sz w:val="26"/>
                                <w:szCs w:val="26"/>
                              </w:rPr>
                            </w:pPr>
                          </w:p>
                          <w:p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rsidR="003A4423" w:rsidRPr="000E0CED" w:rsidRDefault="003A4423" w:rsidP="000E0CED">
                            <w:pPr>
                              <w:spacing w:after="0"/>
                              <w:rPr>
                                <w:sz w:val="26"/>
                                <w:szCs w:val="26"/>
                              </w:rPr>
                            </w:pPr>
                          </w:p>
                          <w:p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rsidR="009160D3" w:rsidRDefault="009160D3" w:rsidP="000E0CED">
                            <w:pPr>
                              <w:spacing w:after="0"/>
                              <w:rPr>
                                <w:rFonts w:ascii="Myriad Pro" w:hAnsi="Myriad Pro"/>
                                <w:sz w:val="24"/>
                              </w:rPr>
                            </w:pPr>
                          </w:p>
                          <w:p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F9EA" id="Text Box 9" o:spid="_x0000_s1036" type="#_x0000_t202" style="position:absolute;margin-left:.6pt;margin-top:17.3pt;width:172.65pt;height:4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" filled="f" stroked="f" strokeweight=".5pt">
                <v:textbox>
                  <w:txbxContent>
                    <w:p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rsidR="000E0CED" w:rsidRPr="000E0CED" w:rsidRDefault="000E0CED" w:rsidP="000E0CED">
                      <w:pPr>
                        <w:spacing w:after="0"/>
                        <w:rPr>
                          <w:rFonts w:cs="Arial"/>
                          <w:sz w:val="26"/>
                          <w:szCs w:val="26"/>
                        </w:rPr>
                      </w:pPr>
                    </w:p>
                    <w:p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rsidR="000E0CED" w:rsidRPr="000E0CED" w:rsidRDefault="000E0CED" w:rsidP="000E0CED">
                      <w:pPr>
                        <w:spacing w:after="0"/>
                        <w:rPr>
                          <w:sz w:val="26"/>
                          <w:szCs w:val="26"/>
                        </w:rPr>
                      </w:pPr>
                    </w:p>
                    <w:p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rsidR="003A4423" w:rsidRPr="000E0CED" w:rsidRDefault="003A4423" w:rsidP="000E0CED">
                      <w:pPr>
                        <w:spacing w:after="0"/>
                        <w:rPr>
                          <w:sz w:val="26"/>
                          <w:szCs w:val="26"/>
                        </w:rPr>
                      </w:pPr>
                    </w:p>
                    <w:p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rsidR="009160D3" w:rsidRDefault="009160D3" w:rsidP="000E0CED">
                      <w:pPr>
                        <w:spacing w:after="0"/>
                        <w:rPr>
                          <w:rFonts w:ascii="Myriad Pro" w:hAnsi="Myriad Pro"/>
                          <w:sz w:val="24"/>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21A" w:rsidRDefault="00FC221A" w:rsidP="00FC221A">
    <w:pPr>
      <w:pStyle w:val="Footer"/>
      <w:jc w:val="center"/>
      <w:rPr>
        <w:rFonts w:ascii="Myriad Pro" w:hAnsi="Myriad Pro"/>
        <w:sz w:val="24"/>
        <w:szCs w:val="36"/>
      </w:rPr>
    </w:pPr>
    <w:r>
      <w:rPr>
        <w:rFonts w:ascii="Myriad Pro" w:hAnsi="Myriad Pro"/>
        <w:noProof/>
        <w:sz w:val="24"/>
        <w:szCs w:val="36"/>
      </w:rPr>
      <w:drawing>
        <wp:inline distT="0" distB="0" distL="0" distR="0" wp14:anchorId="7AA6805F" wp14:editId="6097A928">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FC221A" w:rsidRPr="00D46648" w:rsidRDefault="00FC221A" w:rsidP="00FC221A">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63B3"/>
    <w:multiLevelType w:val="hybridMultilevel"/>
    <w:tmpl w:val="89D4F660"/>
    <w:lvl w:ilvl="0" w:tplc="60BA3384">
      <w:start w:val="1"/>
      <w:numFmt w:val="decimal"/>
      <w:lvlText w:val="%1."/>
      <w:lvlJc w:val="left"/>
      <w:pPr>
        <w:ind w:left="720" w:hanging="360"/>
      </w:pPr>
      <w:rPr>
        <w:b/>
        <w:i w:val="0"/>
        <w:color w:val="595959" w:themeColor="text1" w:themeTint="A6"/>
      </w:rPr>
    </w:lvl>
    <w:lvl w:ilvl="1" w:tplc="7094677A">
      <w:start w:val="1"/>
      <w:numFmt w:val="bullet"/>
      <w:lvlText w:val=""/>
      <w:lvlJc w:val="left"/>
      <w:pPr>
        <w:ind w:left="630" w:hanging="360"/>
      </w:pPr>
      <w:rPr>
        <w:rFonts w:ascii="Symbol" w:hAnsi="Symbol"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4D67"/>
    <w:multiLevelType w:val="hybridMultilevel"/>
    <w:tmpl w:val="709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638CA"/>
    <w:multiLevelType w:val="multilevel"/>
    <w:tmpl w:val="D06E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52D26"/>
    <w:multiLevelType w:val="multilevel"/>
    <w:tmpl w:val="8B92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7"/>
  </w:num>
  <w:num w:numId="5">
    <w:abstractNumId w:val="14"/>
  </w:num>
  <w:num w:numId="6">
    <w:abstractNumId w:val="13"/>
  </w:num>
  <w:num w:numId="7">
    <w:abstractNumId w:val="12"/>
  </w:num>
  <w:num w:numId="8">
    <w:abstractNumId w:val="16"/>
  </w:num>
  <w:num w:numId="9">
    <w:abstractNumId w:val="10"/>
  </w:num>
  <w:num w:numId="10">
    <w:abstractNumId w:val="5"/>
  </w:num>
  <w:num w:numId="11">
    <w:abstractNumId w:val="23"/>
  </w:num>
  <w:num w:numId="12">
    <w:abstractNumId w:val="30"/>
  </w:num>
  <w:num w:numId="13">
    <w:abstractNumId w:val="9"/>
  </w:num>
  <w:num w:numId="14">
    <w:abstractNumId w:val="18"/>
  </w:num>
  <w:num w:numId="15">
    <w:abstractNumId w:val="22"/>
  </w:num>
  <w:num w:numId="16">
    <w:abstractNumId w:val="11"/>
  </w:num>
  <w:num w:numId="17">
    <w:abstractNumId w:val="31"/>
  </w:num>
  <w:num w:numId="18">
    <w:abstractNumId w:val="6"/>
  </w:num>
  <w:num w:numId="19">
    <w:abstractNumId w:val="25"/>
  </w:num>
  <w:num w:numId="20">
    <w:abstractNumId w:val="32"/>
  </w:num>
  <w:num w:numId="21">
    <w:abstractNumId w:val="0"/>
  </w:num>
  <w:num w:numId="22">
    <w:abstractNumId w:val="2"/>
  </w:num>
  <w:num w:numId="23">
    <w:abstractNumId w:val="15"/>
  </w:num>
  <w:num w:numId="24">
    <w:abstractNumId w:val="34"/>
  </w:num>
  <w:num w:numId="25">
    <w:abstractNumId w:val="17"/>
  </w:num>
  <w:num w:numId="26">
    <w:abstractNumId w:val="29"/>
  </w:num>
  <w:num w:numId="27">
    <w:abstractNumId w:val="33"/>
  </w:num>
  <w:num w:numId="28">
    <w:abstractNumId w:val="1"/>
  </w:num>
  <w:num w:numId="29">
    <w:abstractNumId w:val="19"/>
  </w:num>
  <w:num w:numId="30">
    <w:abstractNumId w:val="3"/>
  </w:num>
  <w:num w:numId="31">
    <w:abstractNumId w:val="21"/>
  </w:num>
  <w:num w:numId="32">
    <w:abstractNumId w:val="26"/>
  </w:num>
  <w:num w:numId="33">
    <w:abstractNumId w:val="35"/>
  </w:num>
  <w:num w:numId="34">
    <w:abstractNumId w:val="27"/>
  </w:num>
  <w:num w:numId="35">
    <w:abstractNumId w:val="8"/>
  </w:num>
  <w:num w:numId="36">
    <w:abstractNumId w:val="4"/>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C40B8"/>
    <w:rsid w:val="000E0CED"/>
    <w:rsid w:val="001733BE"/>
    <w:rsid w:val="001956B9"/>
    <w:rsid w:val="001A6610"/>
    <w:rsid w:val="001B2141"/>
    <w:rsid w:val="001D16DC"/>
    <w:rsid w:val="001D41E3"/>
    <w:rsid w:val="001D5F2E"/>
    <w:rsid w:val="00275C50"/>
    <w:rsid w:val="003A4423"/>
    <w:rsid w:val="00406591"/>
    <w:rsid w:val="00414D69"/>
    <w:rsid w:val="00436814"/>
    <w:rsid w:val="0047425E"/>
    <w:rsid w:val="004C0C43"/>
    <w:rsid w:val="004D131D"/>
    <w:rsid w:val="005326F5"/>
    <w:rsid w:val="00532A29"/>
    <w:rsid w:val="006207D8"/>
    <w:rsid w:val="00622246"/>
    <w:rsid w:val="00645074"/>
    <w:rsid w:val="00661D0B"/>
    <w:rsid w:val="00671A4B"/>
    <w:rsid w:val="00675C1D"/>
    <w:rsid w:val="00685C13"/>
    <w:rsid w:val="00696E04"/>
    <w:rsid w:val="006F45EA"/>
    <w:rsid w:val="0070210A"/>
    <w:rsid w:val="00781C88"/>
    <w:rsid w:val="00784F1D"/>
    <w:rsid w:val="00790717"/>
    <w:rsid w:val="007D6AD6"/>
    <w:rsid w:val="007E0452"/>
    <w:rsid w:val="008110A7"/>
    <w:rsid w:val="00854BA0"/>
    <w:rsid w:val="00862933"/>
    <w:rsid w:val="00874387"/>
    <w:rsid w:val="008916E0"/>
    <w:rsid w:val="008A4FE5"/>
    <w:rsid w:val="008F484C"/>
    <w:rsid w:val="009160D3"/>
    <w:rsid w:val="00972CAE"/>
    <w:rsid w:val="00980FFC"/>
    <w:rsid w:val="00981E73"/>
    <w:rsid w:val="009909CD"/>
    <w:rsid w:val="009B09EE"/>
    <w:rsid w:val="009C38EA"/>
    <w:rsid w:val="00A25076"/>
    <w:rsid w:val="00A404A6"/>
    <w:rsid w:val="00A5049D"/>
    <w:rsid w:val="00A51106"/>
    <w:rsid w:val="00A924DC"/>
    <w:rsid w:val="00AC67ED"/>
    <w:rsid w:val="00B044CD"/>
    <w:rsid w:val="00B53C93"/>
    <w:rsid w:val="00B646B2"/>
    <w:rsid w:val="00B84392"/>
    <w:rsid w:val="00B91A1C"/>
    <w:rsid w:val="00BF154F"/>
    <w:rsid w:val="00C10006"/>
    <w:rsid w:val="00C91747"/>
    <w:rsid w:val="00CA36F6"/>
    <w:rsid w:val="00CD2DEC"/>
    <w:rsid w:val="00CE5BCB"/>
    <w:rsid w:val="00CF1D50"/>
    <w:rsid w:val="00D14F9D"/>
    <w:rsid w:val="00D257AF"/>
    <w:rsid w:val="00D321C2"/>
    <w:rsid w:val="00F010F1"/>
    <w:rsid w:val="00F35BE3"/>
    <w:rsid w:val="00F40A18"/>
    <w:rsid w:val="00F56DB3"/>
    <w:rsid w:val="00F95852"/>
    <w:rsid w:val="00FC221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org/academy" TargetMode="External"/><Relationship Id="rId18" Type="http://schemas.openxmlformats.org/officeDocument/2006/relationships/hyperlink" Target="http://accuplacer.collegeboard.org/student/practice" TargetMode="External"/><Relationship Id="rId3" Type="http://schemas.openxmlformats.org/officeDocument/2006/relationships/customXml" Target="../customXml/item3.xml"/><Relationship Id="rId21" Type="http://schemas.openxmlformats.org/officeDocument/2006/relationships/hyperlink" Target="https://bigfuture.collegeboard.org/get-in/applying-101/applying-to-college-your-counselors-role" TargetMode="External"/><Relationship Id="rId7" Type="http://schemas.openxmlformats.org/officeDocument/2006/relationships/webSettings" Target="webSettings.xml"/><Relationship Id="rId12" Type="http://schemas.openxmlformats.org/officeDocument/2006/relationships/hyperlink" Target="http://www.collegeboard.com" TargetMode="External"/><Relationship Id="rId17" Type="http://schemas.openxmlformats.org/officeDocument/2006/relationships/hyperlink" Target="http://www.act.org/acade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llegeboard.com" TargetMode="External"/><Relationship Id="rId20" Type="http://schemas.openxmlformats.org/officeDocument/2006/relationships/hyperlink" Target="https://bigfuture.collegeboard.org/get-in/applying-101/applying-to-college-your-counselors-ro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official-asvab.com/applicants.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fficial-asvab.com/applicant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cuplacer.collegeboard.org/student/practi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C203D089-5D9A-4842-B3CF-05D2521D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2019-08-19T16:49:00Z</dcterms:created>
  <dcterms:modified xsi:type="dcterms:W3CDTF">2019-08-19T16:49:00Z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