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300418" w:rsidRDefault="00824027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300418" w:rsidRDefault="00824027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603DF6" w:rsidRDefault="00603DF6" w:rsidP="00603DF6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603DF6" w:rsidRDefault="00603DF6" w:rsidP="00603DF6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0041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0CA5B" wp14:editId="1BEFD5E9">
                <wp:simplePos x="0" y="0"/>
                <wp:positionH relativeFrom="margin">
                  <wp:align>left</wp:align>
                </wp:positionH>
                <wp:positionV relativeFrom="paragraph">
                  <wp:posOffset>6573273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300418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A5B" id="Text Box 8" o:spid="_x0000_s1028" type="#_x0000_t202" style="position:absolute;margin-left:0;margin-top:517.6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    <v:textbox>
                  <w:txbxContent>
                    <w:p w:rsidR="00CA36F6" w:rsidRPr="00300418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D8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2BC83" wp14:editId="72E6F967">
                <wp:simplePos x="0" y="0"/>
                <wp:positionH relativeFrom="column">
                  <wp:posOffset>15875</wp:posOffset>
                </wp:positionH>
                <wp:positionV relativeFrom="paragraph">
                  <wp:posOffset>6927850</wp:posOffset>
                </wp:positionV>
                <wp:extent cx="7306945" cy="1150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8B" w:rsidRDefault="002D4D8B" w:rsidP="005D50A9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Academic &amp; Support Services Offered: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Most schools offer some type of 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academic support program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s to help students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. For example, some schools offer small tutoring programs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. Others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 might have entire offices dedicated to help student achievement, including targeted services for diverse populations</w:t>
                            </w:r>
                            <w:r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BC83" id="Text Box 13" o:spid="_x0000_s1029" type="#_x0000_t202" style="position:absolute;margin-left:1.25pt;margin-top:545.5pt;width:575.3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    <v:textbox>
                  <w:txbxContent>
                    <w:p w:rsidR="002D4D8B" w:rsidRDefault="002D4D8B" w:rsidP="005D50A9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eastAsia="Times New Roman" w:hAnsi="Trebuchet MS" w:cs="Times New Roman"/>
                          <w:b/>
                          <w:bCs/>
                          <w:sz w:val="28"/>
                          <w:szCs w:val="24"/>
                        </w:rPr>
                        <w:t>Academic &amp; Support Services Offered: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Most schools offer some type of 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academic support program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s to help students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. For example, some schools offer small tutoring programs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. Others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 might have entire offices dedicated to help student achievement, including targeted services for diverse populations</w:t>
                      </w:r>
                      <w:r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AB2B1E" wp14:editId="17A1ED66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8B" w:rsidRPr="00B63C34" w:rsidRDefault="002D4D8B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Finding </w:t>
                            </w:r>
                            <w:r w:rsidR="00813A3D"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the</w:t>
                            </w:r>
                            <w:r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Right Fit</w:t>
                            </w:r>
                          </w:p>
                          <w:p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Choosing a college is a complex and often confusing process that requires students and families to know about the different types of schools, admission requirements, financial aid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,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and more. </w:t>
                            </w:r>
                          </w:p>
                          <w:p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When it comes to choosing a college, you will hear the term “fit” tossed around quite a bit. You’re told to find a college that is a good “fit”, but what does that really mean?</w:t>
                            </w:r>
                          </w:p>
                          <w:p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:rsidR="00C7131B" w:rsidRPr="00C7131B" w:rsidRDefault="00603DF6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603DF6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There are many colleges, programs, and degrees to choose from.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High school juniors have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spent some time thinking 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about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different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types of careers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have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explored what sort of education beyond high school is necessary for that pa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th. That exploration will help students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figure out what school is the best fit.</w:t>
                            </w:r>
                          </w:p>
                          <w:p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:rsidR="002D4D8B" w:rsidRDefault="002D4D8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 more the school is matched with your teen’s interests and needs, the better fit it is.</w:t>
                            </w:r>
                            <w:r w:rsidR="005D50A9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 better the fit, the likelier it is that your child will stay and complete school successfully. It’s also important to think about other factors that</w:t>
                            </w:r>
                            <w:r w:rsid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can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influence </w:t>
                            </w:r>
                            <w:r w:rsid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your child’s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experience like the size of the school or the distance from home. </w:t>
                            </w:r>
                          </w:p>
                          <w:p w:rsidR="00C7131B" w:rsidRPr="00C7131B" w:rsidRDefault="00C7131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GridTable1Light-Accent6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159"/>
                              <w:gridCol w:w="13"/>
                            </w:tblGrid>
                            <w:tr w:rsidR="002D4D8B" w:rsidRPr="00B63C34" w:rsidTr="00BC2B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330" w:type="dxa"/>
                                  <w:gridSpan w:val="3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:rsidR="002D4D8B" w:rsidRPr="00824027" w:rsidRDefault="002D4D8B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Myriad Pro" w:hAnsi="Myriad Pro"/>
                                      <w:sz w:val="22"/>
                                      <w:szCs w:val="20"/>
                                    </w:rPr>
                                    <w:t>CHOOSING A COLLEGE</w:t>
                                  </w:r>
                                </w:p>
                              </w:tc>
                            </w:tr>
                            <w:tr w:rsidR="00C7131B" w:rsidRPr="00B63C34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  <w:shd w:val="clear" w:color="auto" w:fill="D8BED7" w:themeFill="accent6" w:themeFillTint="66"/>
                                </w:tcPr>
                                <w:p w:rsidR="00C7131B" w:rsidRPr="00824027" w:rsidRDefault="00C7131B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WHAT’S IMPORTANT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shd w:val="clear" w:color="auto" w:fill="D8BED7" w:themeFill="accent6" w:themeFillTint="66"/>
                                </w:tcPr>
                                <w:p w:rsidR="00C7131B" w:rsidRPr="00824027" w:rsidRDefault="00C7131B" w:rsidP="002D4D8B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0"/>
                                    </w:rPr>
                                    <w:t>WHAT’S NOT</w:t>
                                  </w:r>
                                </w:p>
                              </w:tc>
                            </w:tr>
                            <w:tr w:rsidR="00C7131B" w:rsidRPr="00B63C34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</w:tcPr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Available academic programs &amp; majors in the field of interest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Available support services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Campus atmosphere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Distance from home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Diversity of students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Extracurricular activities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Financial aid offered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Graduation &amp; employment rate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Housing options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Location</w:t>
                                  </w:r>
                                </w:p>
                                <w:p w:rsidR="00C7131B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Size of school &amp; class size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Best friend is going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Boyfriend or girlfriend is going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Good sports teams (for non-athletes)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It’s closest to home</w:t>
                                  </w:r>
                                </w:p>
                                <w:p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School colors</w:t>
                                  </w:r>
                                </w:p>
                                <w:p w:rsidR="00C7131B" w:rsidRPr="00824027" w:rsidRDefault="00603DF6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 xml:space="preserve">The </w:t>
                                  </w:r>
                                  <w:r w:rsidR="00BC2BDD" w:rsidRPr="00824027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 xml:space="preserve">sticker </w:t>
                                  </w:r>
                                  <w:r w:rsidRPr="00824027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price</w:t>
                                  </w:r>
                                  <w:r w:rsidR="00BC2BDD"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 xml:space="preserve"> of that program</w:t>
                                  </w:r>
                                </w:p>
                              </w:tc>
                            </w:tr>
                          </w:tbl>
                          <w:p w:rsidR="00B63C34" w:rsidRPr="00B63C34" w:rsidRDefault="00B63C34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:rsidR="00972CAE" w:rsidRPr="00571AEF" w:rsidRDefault="00972CA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2B1E" id="Text Box 2" o:spid="_x0000_s1030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    <v:textbox>
                  <w:txbxContent>
                    <w:p w:rsidR="002D4D8B" w:rsidRPr="00B63C34" w:rsidRDefault="002D4D8B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63C34">
                        <w:rPr>
                          <w:rFonts w:ascii="Myriad Pro" w:hAnsi="Myriad Pro"/>
                          <w:b/>
                          <w:sz w:val="32"/>
                        </w:rPr>
                        <w:t xml:space="preserve">Finding </w:t>
                      </w:r>
                      <w:r w:rsidR="00813A3D" w:rsidRPr="00B63C34">
                        <w:rPr>
                          <w:rFonts w:ascii="Myriad Pro" w:hAnsi="Myriad Pro"/>
                          <w:b/>
                          <w:sz w:val="32"/>
                        </w:rPr>
                        <w:t>the</w:t>
                      </w:r>
                      <w:r w:rsidRPr="00B63C34">
                        <w:rPr>
                          <w:rFonts w:ascii="Myriad Pro" w:hAnsi="Myriad Pro"/>
                          <w:b/>
                          <w:sz w:val="32"/>
                        </w:rPr>
                        <w:t xml:space="preserve"> Right Fit</w:t>
                      </w:r>
                    </w:p>
                    <w:p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Choosing a college is a complex and often confusing process that requires students and families to know about the different types of schools, admission requirements, financial aid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,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and more. </w:t>
                      </w:r>
                    </w:p>
                    <w:p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When it comes to choosing a college, you will hear the term “fit” tossed around quite a bit. You’re told to find a college that is a good “fit”, but what does that really mean?</w:t>
                      </w:r>
                    </w:p>
                    <w:p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:rsidR="00C7131B" w:rsidRPr="00C7131B" w:rsidRDefault="00603DF6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603DF6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There are many colleges, programs, and degrees to choose from.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High school juniors have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spent some time thinking 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about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different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types of careers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and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have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explored what sort of education beyond high school is necessary for that pa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th. That exploration will help students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figure out what school is the best fit.</w:t>
                      </w:r>
                    </w:p>
                    <w:p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:rsidR="002D4D8B" w:rsidRDefault="002D4D8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The more the school is matched with your teen’s interests and needs, the better fit it is.</w:t>
                      </w:r>
                      <w:r w:rsidR="005D50A9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The better the fit, the likelier it is that your child will stay and complete school successfully. It’s also important to think about other factors that</w:t>
                      </w:r>
                      <w:r w:rsid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can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influence </w:t>
                      </w:r>
                      <w:r w:rsid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your child’s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experience like the size of the school or the distance from home. </w:t>
                      </w:r>
                    </w:p>
                    <w:p w:rsidR="00C7131B" w:rsidRPr="00C7131B" w:rsidRDefault="00C7131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tbl>
                      <w:tblPr>
                        <w:tblStyle w:val="GridTable1Light-Accent6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159"/>
                        <w:gridCol w:w="13"/>
                      </w:tblGrid>
                      <w:tr w:rsidR="002D4D8B" w:rsidRPr="00B63C34" w:rsidTr="00BC2B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330" w:type="dxa"/>
                            <w:gridSpan w:val="3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:rsidR="002D4D8B" w:rsidRPr="00824027" w:rsidRDefault="002D4D8B" w:rsidP="002D4D8B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Myriad Pro" w:hAnsi="Myriad Pro"/>
                                <w:sz w:val="22"/>
                                <w:szCs w:val="20"/>
                              </w:rPr>
                              <w:t>CHOOSING A COLLEGE</w:t>
                            </w:r>
                          </w:p>
                        </w:tc>
                      </w:tr>
                      <w:tr w:rsidR="00C7131B" w:rsidRPr="00B63C34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  <w:shd w:val="clear" w:color="auto" w:fill="D8BED7" w:themeFill="accent6" w:themeFillTint="66"/>
                          </w:tcPr>
                          <w:p w:rsidR="00C7131B" w:rsidRPr="00824027" w:rsidRDefault="00C7131B" w:rsidP="002D4D8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WHAT’S IMPORTANT</w:t>
                            </w:r>
                          </w:p>
                        </w:tc>
                        <w:tc>
                          <w:tcPr>
                            <w:tcW w:w="4159" w:type="dxa"/>
                            <w:shd w:val="clear" w:color="auto" w:fill="D8BED7" w:themeFill="accent6" w:themeFillTint="66"/>
                          </w:tcPr>
                          <w:p w:rsidR="00C7131B" w:rsidRPr="00824027" w:rsidRDefault="00C7131B" w:rsidP="002D4D8B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2"/>
                                <w:szCs w:val="20"/>
                              </w:rPr>
                              <w:t>WHAT’S NOT</w:t>
                            </w:r>
                          </w:p>
                        </w:tc>
                      </w:tr>
                      <w:tr w:rsidR="00C7131B" w:rsidRPr="00B63C34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</w:tcPr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Available academic programs &amp; majors in the field of interest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Available support services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Campus atmosphere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Distance from home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Diversity of students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Extracurricular activities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Financial aid offered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Graduation &amp; employment rate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Housing options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Location</w:t>
                            </w:r>
                          </w:p>
                          <w:p w:rsidR="00C7131B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Size of school &amp; class size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Best friend is going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Boyfriend or girlfriend is going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Good sports teams (for non-athletes)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It’s closest to home</w:t>
                            </w:r>
                          </w:p>
                          <w:p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School colors</w:t>
                            </w:r>
                          </w:p>
                          <w:p w:rsidR="00C7131B" w:rsidRPr="00824027" w:rsidRDefault="00603DF6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 xml:space="preserve">The </w:t>
                            </w:r>
                            <w:r w:rsidR="00BC2BDD" w:rsidRPr="00824027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0"/>
                              </w:rPr>
                              <w:t xml:space="preserve">sticker </w:t>
                            </w:r>
                            <w:r w:rsidRPr="00824027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0"/>
                              </w:rPr>
                              <w:t>price</w:t>
                            </w:r>
                            <w:r w:rsidR="00BC2BDD"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 xml:space="preserve"> of that program</w:t>
                            </w:r>
                          </w:p>
                        </w:tc>
                      </w:tr>
                    </w:tbl>
                    <w:p w:rsidR="00B63C34" w:rsidRPr="00B63C34" w:rsidRDefault="00B63C34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:rsidR="00972CAE" w:rsidRPr="00571AEF" w:rsidRDefault="00972CA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1D312E" wp14:editId="0CF4845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D312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B867E50" wp14:editId="11A8821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7E5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2E4EF" wp14:editId="4DE59D75">
                <wp:simplePos x="0" y="0"/>
                <wp:positionH relativeFrom="column">
                  <wp:posOffset>2291576</wp:posOffset>
                </wp:positionH>
                <wp:positionV relativeFrom="paragraph">
                  <wp:posOffset>72483</wp:posOffset>
                </wp:positionV>
                <wp:extent cx="4890135" cy="3021980"/>
                <wp:effectExtent l="0" t="0" r="2476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2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E4EF" id="_x0000_s1033" type="#_x0000_t202" style="position:absolute;margin-left:180.45pt;margin-top:5.7pt;width:385.05pt;height:2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2+PQ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67C6C" wp14:editId="4B70432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7C6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13A3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D7B97" wp14:editId="5FBB44E4">
                <wp:simplePos x="0" y="0"/>
                <wp:positionH relativeFrom="column">
                  <wp:posOffset>2312719</wp:posOffset>
                </wp:positionH>
                <wp:positionV relativeFrom="paragraph">
                  <wp:posOffset>2854053</wp:posOffset>
                </wp:positionV>
                <wp:extent cx="4866385" cy="47501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4750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Begin to prepare for the ACT or SAT.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 xml:space="preserve"> Free test prep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may be available at your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school, your local community colleges, and community based programs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There is also free online prep </w:t>
                            </w:r>
                            <w:r w:rsidR="00813A3D" w:rsidRPr="007909CA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www.khanacademy.org/test-prep/sat</w:t>
                              </w:r>
                            </w:hyperlink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You should plan to take at least one of these tests in the spring and again next fall during your senior year. Ask your counselor if you qualify for a fee waiver. </w:t>
                            </w:r>
                          </w:p>
                          <w:p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Create a list of potential college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s. Explore websites that c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>an help narrow the search.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Attend college fairs and sessions with college representatives.</w:t>
                            </w:r>
                          </w:p>
                          <w:p w:rsidR="00824027" w:rsidRDefault="00824027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:rsidR="00854BA0" w:rsidRPr="00661D0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:rsidR="00353205" w:rsidRPr="007C7C60" w:rsidRDefault="00353205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Attend college fairs with your child.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Encourage your teen to ask questions and talk w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ith the college </w:t>
                            </w:r>
                            <w:r w:rsidR="00813A3D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representatives</w:t>
                            </w:r>
                            <w:r w:rsidR="00813A3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53205" w:rsidRPr="007C7C60" w:rsidRDefault="00353205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If possible, t</w:t>
                            </w:r>
                            <w:r w:rsidRP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ake your child to visit college campuses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, preferably when classes are in session.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Or encourage your child to participate in school field trips to campuses. </w:t>
                            </w:r>
                          </w:p>
                          <w:p w:rsidR="00353205" w:rsidRPr="00353205" w:rsidRDefault="00C124B0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0" w:line="240" w:lineRule="auto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Help your child prepare for th</w:t>
                            </w:r>
                            <w:r w:rsid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or ACT</w:t>
                            </w:r>
                            <w:r w:rsidRP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Find out if there is free test </w:t>
                            </w:r>
                            <w:r w:rsidR="00813A3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prep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workshops at the</w:t>
                            </w:r>
                            <w:r w:rsidR="00353205" w:rsidRP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school, local community colleges, 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or in the community</w:t>
                            </w:r>
                            <w:r w:rsidR="00353205" w:rsidRP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Free SAT Prep</w:t>
                            </w:r>
                            <w:r w:rsidR="00511D2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available at: </w:t>
                            </w:r>
                            <w:hyperlink r:id="rId13" w:history="1">
                              <w:r w:rsidRPr="00216C2F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</w:t>
                              </w:r>
                            </w:hyperlink>
                          </w:p>
                          <w:p w:rsidR="00813A3D" w:rsidRDefault="00813A3D" w:rsidP="00B8439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7B97" id="_x0000_s1035" type="#_x0000_t202" style="position:absolute;margin-left:182.1pt;margin-top:224.75pt;width:383.2pt;height:3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" fillcolor="#e1eee8 [663]" stroked="f">
                <v:textbox>
                  <w:txbxContent>
                    <w:p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Begin to prepare for the ACT or SAT.</w:t>
                      </w:r>
                      <w:r w:rsidRPr="007909CA">
                        <w:rPr>
                          <w:sz w:val="24"/>
                          <w:szCs w:val="24"/>
                        </w:rPr>
                        <w:t xml:space="preserve"> Free test prep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09CA">
                        <w:rPr>
                          <w:sz w:val="24"/>
                          <w:szCs w:val="24"/>
                        </w:rPr>
                        <w:t>may be available at your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09CA">
                        <w:rPr>
                          <w:sz w:val="24"/>
                          <w:szCs w:val="24"/>
                        </w:rPr>
                        <w:t>school, your local community colleges, and community based programs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. There is also free online prep </w:t>
                      </w:r>
                      <w:r w:rsidR="00813A3D" w:rsidRPr="007909CA">
                        <w:rPr>
                          <w:sz w:val="24"/>
                          <w:szCs w:val="24"/>
                        </w:rPr>
                        <w:t>at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www.khanacademy.org/test-prep/sat</w:t>
                        </w:r>
                      </w:hyperlink>
                      <w:r w:rsidR="007909CA" w:rsidRPr="007909C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7909CA">
                        <w:rPr>
                          <w:sz w:val="24"/>
                          <w:szCs w:val="24"/>
                        </w:rPr>
                        <w:t>You should plan to take at least one of these tests in the spring and again next fall during your senior year. Ask your counselor if you qualify for a fee waiver. </w:t>
                      </w:r>
                    </w:p>
                    <w:p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Create a list of potential college</w:t>
                      </w:r>
                      <w:r w:rsidRPr="007909CA">
                        <w:rPr>
                          <w:sz w:val="24"/>
                          <w:szCs w:val="24"/>
                        </w:rPr>
                        <w:t>s. Explore websites that c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>an help narrow the search.</w:t>
                      </w:r>
                      <w:r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Attend college fairs and sessions with college representatives.</w:t>
                      </w:r>
                    </w:p>
                    <w:p w:rsidR="00824027" w:rsidRDefault="00824027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:rsidR="00854BA0" w:rsidRPr="00661D0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:rsidR="00353205" w:rsidRPr="007C7C60" w:rsidRDefault="00353205" w:rsidP="00824027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bookmarkStart w:id="1" w:name="_GoBack"/>
                      <w:r w:rsidRP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Attend college fairs with your child.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Encourage your teen to ask questions and talk w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ith the college </w:t>
                      </w:r>
                      <w:r w:rsidR="00813A3D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representatives</w:t>
                      </w:r>
                      <w:r w:rsidR="00813A3D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:rsidR="00353205" w:rsidRPr="007C7C60" w:rsidRDefault="00353205" w:rsidP="00824027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If possible, t</w:t>
                      </w:r>
                      <w:r w:rsidRP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ake your child to visit college campuses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, preferably when classes are in session.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Or encourage your child to participate in school field trips to campuses. </w:t>
                      </w:r>
                    </w:p>
                    <w:p w:rsidR="00353205" w:rsidRPr="00353205" w:rsidRDefault="00C124B0" w:rsidP="00824027">
                      <w:pPr>
                        <w:numPr>
                          <w:ilvl w:val="0"/>
                          <w:numId w:val="39"/>
                        </w:numPr>
                        <w:spacing w:before="100" w:beforeAutospacing="1" w:after="0" w:line="240" w:lineRule="auto"/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Help your child prepare for th</w:t>
                      </w:r>
                      <w:r w:rsid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P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SAT</w:t>
                      </w:r>
                      <w:r w:rsid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or ACT</w:t>
                      </w:r>
                      <w:r w:rsidRP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Find out if there is free test </w:t>
                      </w:r>
                      <w:r w:rsidR="00813A3D">
                        <w:rPr>
                          <w:rFonts w:ascii="Trebuchet MS" w:hAnsi="Trebuchet MS"/>
                          <w:sz w:val="24"/>
                          <w:szCs w:val="24"/>
                        </w:rPr>
                        <w:t>prep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workshops at the</w:t>
                      </w:r>
                      <w:r w:rsidR="00353205" w:rsidRP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school, local community colleges, 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>or in the community</w:t>
                      </w:r>
                      <w:r w:rsidR="00353205" w:rsidRP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Free SAT Prep</w:t>
                      </w:r>
                      <w:r w:rsidR="00511D2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available at: </w:t>
                      </w:r>
                      <w:hyperlink r:id="rId15" w:history="1">
                        <w:r w:rsidRPr="00216C2F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</w:t>
                        </w:r>
                      </w:hyperlink>
                    </w:p>
                    <w:p w:rsidR="00813A3D" w:rsidRDefault="00813A3D" w:rsidP="00B84392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ED464" wp14:editId="2136D9F2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34" w:rsidRPr="00824027" w:rsidRDefault="00B63C34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MYTH:</w:t>
                            </w:r>
                            <w:r w:rsidRPr="00824027"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BDD" w:rsidRPr="00824027">
                              <w:rPr>
                                <w:sz w:val="24"/>
                                <w:szCs w:val="24"/>
                              </w:rPr>
                              <w:t>Your child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 should go to the most prestigious college to which he</w:t>
                            </w:r>
                            <w:r w:rsidR="00BC2BDD" w:rsidRPr="00824027">
                              <w:rPr>
                                <w:sz w:val="24"/>
                                <w:szCs w:val="24"/>
                              </w:rPr>
                              <w:t xml:space="preserve"> or she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 is admitted.</w:t>
                            </w:r>
                          </w:p>
                          <w:p w:rsidR="00BC2BDD" w:rsidRPr="00824027" w:rsidRDefault="00BC2BDD" w:rsidP="00BC2BDD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</w:pPr>
                          </w:p>
                          <w:p w:rsidR="0034369A" w:rsidRPr="00824027" w:rsidRDefault="00B63C34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REALITY</w:t>
                            </w:r>
                            <w:r w:rsidRPr="0082402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42615" w:rsidRPr="008240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03DF6" w:rsidRPr="00824027">
                              <w:rPr>
                                <w:sz w:val="24"/>
                                <w:szCs w:val="24"/>
                              </w:rPr>
                              <w:t xml:space="preserve">tudents should go to the college that is the </w:t>
                            </w:r>
                            <w:r w:rsidR="00603DF6" w:rsidRPr="0082402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best fit</w:t>
                            </w:r>
                            <w:r w:rsidR="00603DF6" w:rsidRPr="00824027">
                              <w:rPr>
                                <w:sz w:val="24"/>
                                <w:szCs w:val="24"/>
                              </w:rPr>
                              <w:t xml:space="preserve"> for them. 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If it happens to be prestigious, that's fine. </w:t>
                            </w:r>
                          </w:p>
                          <w:p w:rsidR="00BC2BDD" w:rsidRPr="00824027" w:rsidRDefault="00BC2BDD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369A" w:rsidRPr="00824027" w:rsidRDefault="00603DF6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Best fit has to do with how students feel when they are on campus. 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 xml:space="preserve">Is the school a good fit for how </w:t>
                            </w:r>
                            <w:r w:rsidR="00511D2F" w:rsidRPr="00824027">
                              <w:rPr>
                                <w:sz w:val="24"/>
                                <w:szCs w:val="24"/>
                              </w:rPr>
                              <w:t>your child learns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>? H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 xml:space="preserve">ow </w:t>
                            </w:r>
                            <w:r w:rsidR="00703E58" w:rsidRPr="00824027"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>the professors teach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2BDD" w:rsidRPr="00824027" w:rsidRDefault="00BC2BDD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3C34" w:rsidRPr="00824027" w:rsidRDefault="00603DF6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sz w:val="24"/>
                                <w:szCs w:val="24"/>
                              </w:rPr>
                              <w:t>Students who go to schools that aren't a good fit are likely to be unhappy, regardless of the school's prestige.</w:t>
                            </w:r>
                          </w:p>
                          <w:p w:rsidR="00BC2BDD" w:rsidRPr="00824027" w:rsidRDefault="00BC2BDD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7909CA" w:rsidRPr="00824027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7909CA" w:rsidRPr="00824027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TIP:</w:t>
                            </w:r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Check out </w:t>
                            </w:r>
                            <w:r w:rsidR="00511D2F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websites that can help find a great fitting college or program:</w:t>
                            </w:r>
                          </w:p>
                          <w:p w:rsidR="00BC2BDD" w:rsidRPr="00824027" w:rsidRDefault="00BC2BD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BigFuture</w:t>
                            </w:r>
                            <w:proofErr w:type="spellEnd"/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College Raptor </w:t>
                            </w:r>
                          </w:p>
                          <w:p w:rsidR="007909CA" w:rsidRPr="00824027" w:rsidRDefault="00824027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www.collegeraptor.com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Cappex</w:t>
                            </w:r>
                            <w:proofErr w:type="spellEnd"/>
                          </w:p>
                          <w:p w:rsidR="007909CA" w:rsidRPr="00824027" w:rsidRDefault="00824027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www.cappex.com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Navigator</w:t>
                            </w:r>
                          </w:p>
                          <w:p w:rsidR="007909CA" w:rsidRPr="00824027" w:rsidRDefault="00824027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www.nces.ed.gov/collegenavigator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09CA" w:rsidRPr="00824027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D464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:rsidR="00B63C34" w:rsidRPr="00824027" w:rsidRDefault="00B63C34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MYTH:</w:t>
                      </w:r>
                      <w:r w:rsidRPr="00824027">
                        <w:rPr>
                          <w:rFonts w:ascii="Myriad Pro" w:hAnsi="Myriad Pro" w:cs="Arial"/>
                          <w:sz w:val="24"/>
                          <w:szCs w:val="24"/>
                        </w:rPr>
                        <w:t xml:space="preserve"> </w:t>
                      </w:r>
                      <w:r w:rsidR="00BC2BDD" w:rsidRPr="00824027">
                        <w:rPr>
                          <w:sz w:val="24"/>
                          <w:szCs w:val="24"/>
                        </w:rPr>
                        <w:t>Your child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 should go to the most prestigious college to which he</w:t>
                      </w:r>
                      <w:r w:rsidR="00BC2BDD" w:rsidRPr="00824027">
                        <w:rPr>
                          <w:sz w:val="24"/>
                          <w:szCs w:val="24"/>
                        </w:rPr>
                        <w:t xml:space="preserve"> or she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 is admitted.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rFonts w:ascii="Myriad Pro" w:hAnsi="Myriad Pro" w:cs="Arial"/>
                          <w:sz w:val="24"/>
                          <w:szCs w:val="24"/>
                        </w:rPr>
                      </w:pPr>
                    </w:p>
                    <w:p w:rsidR="0034369A" w:rsidRPr="00824027" w:rsidRDefault="00B63C34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REALITY</w:t>
                      </w:r>
                      <w:r w:rsidRPr="0082402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 xml:space="preserve">: </w:t>
                      </w:r>
                      <w:r w:rsidR="00442615" w:rsidRPr="00824027">
                        <w:rPr>
                          <w:sz w:val="24"/>
                          <w:szCs w:val="24"/>
                        </w:rPr>
                        <w:t>S</w:t>
                      </w:r>
                      <w:r w:rsidR="00603DF6" w:rsidRPr="00824027">
                        <w:rPr>
                          <w:sz w:val="24"/>
                          <w:szCs w:val="24"/>
                        </w:rPr>
                        <w:t xml:space="preserve">tudents should go to the college that is the </w:t>
                      </w:r>
                      <w:r w:rsidR="00603DF6" w:rsidRPr="00824027">
                        <w:rPr>
                          <w:b/>
                          <w:i/>
                          <w:sz w:val="24"/>
                          <w:szCs w:val="24"/>
                        </w:rPr>
                        <w:t>best fit</w:t>
                      </w:r>
                      <w:r w:rsidR="00603DF6" w:rsidRPr="00824027">
                        <w:rPr>
                          <w:sz w:val="24"/>
                          <w:szCs w:val="24"/>
                        </w:rPr>
                        <w:t xml:space="preserve"> for them. 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If it happens to be prestigious, that's fine. 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369A" w:rsidRPr="00824027" w:rsidRDefault="00603DF6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sz w:val="24"/>
                          <w:szCs w:val="24"/>
                        </w:rPr>
                        <w:t xml:space="preserve">Best fit has to do with how students feel when they are on campus. 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 xml:space="preserve">Is the school a good fit for how </w:t>
                      </w:r>
                      <w:r w:rsidR="00511D2F" w:rsidRPr="00824027">
                        <w:rPr>
                          <w:sz w:val="24"/>
                          <w:szCs w:val="24"/>
                        </w:rPr>
                        <w:t>your child learns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>? H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 xml:space="preserve">ow </w:t>
                      </w:r>
                      <w:r w:rsidR="00703E58" w:rsidRPr="00824027"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>the professors teach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>?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3C34" w:rsidRPr="00824027" w:rsidRDefault="00603DF6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sz w:val="24"/>
                          <w:szCs w:val="24"/>
                        </w:rPr>
                        <w:t>Students who go to schools that aren't a good fit are likely to be unhappy, regardless of the school's prestige.</w:t>
                      </w:r>
                    </w:p>
                    <w:p w:rsidR="00BC2BDD" w:rsidRPr="00824027" w:rsidRDefault="00BC2BDD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TIP:</w:t>
                      </w:r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Check out </w:t>
                      </w:r>
                      <w:r w:rsidR="00511D2F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these </w:t>
                      </w:r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>websites that can help find a great fitting college or program:</w:t>
                      </w:r>
                    </w:p>
                    <w:p w:rsidR="00BC2BDD" w:rsidRPr="00824027" w:rsidRDefault="00BC2BD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BigFuture</w:t>
                      </w:r>
                      <w:proofErr w:type="spellEnd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www.bigfuture.collegeboard.org</w:t>
                        </w:r>
                      </w:hyperlink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College Raptor </w:t>
                      </w:r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1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www.collegeraptor.com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Cappex</w:t>
                      </w:r>
                      <w:proofErr w:type="spellEnd"/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2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www.cappex.com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Navigator</w:t>
                      </w:r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3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www.nces.ed.gov/collegenavigator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A3ABB" w:rsidRPr="00D46648" w:rsidRDefault="00CA3ABB" w:rsidP="00CA3ABB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9A6"/>
    <w:multiLevelType w:val="multilevel"/>
    <w:tmpl w:val="7358762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4165"/>
    <w:multiLevelType w:val="hybridMultilevel"/>
    <w:tmpl w:val="2036431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1"/>
  </w:num>
  <w:num w:numId="10">
    <w:abstractNumId w:val="6"/>
  </w:num>
  <w:num w:numId="11">
    <w:abstractNumId w:val="24"/>
  </w:num>
  <w:num w:numId="12">
    <w:abstractNumId w:val="31"/>
  </w:num>
  <w:num w:numId="13">
    <w:abstractNumId w:val="10"/>
  </w:num>
  <w:num w:numId="14">
    <w:abstractNumId w:val="19"/>
  </w:num>
  <w:num w:numId="15">
    <w:abstractNumId w:val="23"/>
  </w:num>
  <w:num w:numId="16">
    <w:abstractNumId w:val="12"/>
  </w:num>
  <w:num w:numId="17">
    <w:abstractNumId w:val="32"/>
  </w:num>
  <w:num w:numId="18">
    <w:abstractNumId w:val="7"/>
  </w:num>
  <w:num w:numId="19">
    <w:abstractNumId w:val="26"/>
  </w:num>
  <w:num w:numId="20">
    <w:abstractNumId w:val="34"/>
  </w:num>
  <w:num w:numId="21">
    <w:abstractNumId w:val="1"/>
  </w:num>
  <w:num w:numId="22">
    <w:abstractNumId w:val="4"/>
  </w:num>
  <w:num w:numId="23">
    <w:abstractNumId w:val="16"/>
  </w:num>
  <w:num w:numId="24">
    <w:abstractNumId w:val="36"/>
  </w:num>
  <w:num w:numId="25">
    <w:abstractNumId w:val="18"/>
  </w:num>
  <w:num w:numId="26">
    <w:abstractNumId w:val="30"/>
  </w:num>
  <w:num w:numId="27">
    <w:abstractNumId w:val="35"/>
  </w:num>
  <w:num w:numId="28">
    <w:abstractNumId w:val="3"/>
  </w:num>
  <w:num w:numId="29">
    <w:abstractNumId w:val="20"/>
  </w:num>
  <w:num w:numId="30">
    <w:abstractNumId w:val="5"/>
  </w:num>
  <w:num w:numId="31">
    <w:abstractNumId w:val="22"/>
  </w:num>
  <w:num w:numId="32">
    <w:abstractNumId w:val="27"/>
  </w:num>
  <w:num w:numId="33">
    <w:abstractNumId w:val="37"/>
  </w:num>
  <w:num w:numId="34">
    <w:abstractNumId w:val="29"/>
  </w:num>
  <w:num w:numId="35">
    <w:abstractNumId w:val="0"/>
  </w:num>
  <w:num w:numId="36">
    <w:abstractNumId w:val="28"/>
  </w:num>
  <w:num w:numId="37">
    <w:abstractNumId w:val="21"/>
  </w:num>
  <w:num w:numId="38">
    <w:abstractNumId w:val="33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C40B8"/>
    <w:rsid w:val="000E0CED"/>
    <w:rsid w:val="001733BE"/>
    <w:rsid w:val="001956B9"/>
    <w:rsid w:val="001A6610"/>
    <w:rsid w:val="001B2141"/>
    <w:rsid w:val="001D16DC"/>
    <w:rsid w:val="001D41E3"/>
    <w:rsid w:val="001D5F2E"/>
    <w:rsid w:val="00275C50"/>
    <w:rsid w:val="002D4D8B"/>
    <w:rsid w:val="00300418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7425E"/>
    <w:rsid w:val="004D131D"/>
    <w:rsid w:val="00511D2F"/>
    <w:rsid w:val="005326F5"/>
    <w:rsid w:val="00532A29"/>
    <w:rsid w:val="00571AEF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03E58"/>
    <w:rsid w:val="00761661"/>
    <w:rsid w:val="00781C88"/>
    <w:rsid w:val="00784F1D"/>
    <w:rsid w:val="00790717"/>
    <w:rsid w:val="007909CA"/>
    <w:rsid w:val="007E0452"/>
    <w:rsid w:val="008110A7"/>
    <w:rsid w:val="00813A3D"/>
    <w:rsid w:val="00824027"/>
    <w:rsid w:val="00841577"/>
    <w:rsid w:val="00854BA0"/>
    <w:rsid w:val="00862933"/>
    <w:rsid w:val="00874387"/>
    <w:rsid w:val="00883CD0"/>
    <w:rsid w:val="008916E0"/>
    <w:rsid w:val="008A4FE5"/>
    <w:rsid w:val="008F484C"/>
    <w:rsid w:val="00972CAE"/>
    <w:rsid w:val="00980FFC"/>
    <w:rsid w:val="00981E73"/>
    <w:rsid w:val="009909CD"/>
    <w:rsid w:val="009B09EE"/>
    <w:rsid w:val="009C6715"/>
    <w:rsid w:val="00A20D47"/>
    <w:rsid w:val="00A25076"/>
    <w:rsid w:val="00A51106"/>
    <w:rsid w:val="00A924DC"/>
    <w:rsid w:val="00AC67ED"/>
    <w:rsid w:val="00B044CD"/>
    <w:rsid w:val="00B53C93"/>
    <w:rsid w:val="00B63C34"/>
    <w:rsid w:val="00B646B2"/>
    <w:rsid w:val="00B84392"/>
    <w:rsid w:val="00B91A1C"/>
    <w:rsid w:val="00BC2BDD"/>
    <w:rsid w:val="00BD3320"/>
    <w:rsid w:val="00BF154F"/>
    <w:rsid w:val="00C124B0"/>
    <w:rsid w:val="00C64488"/>
    <w:rsid w:val="00C7131B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F010F1"/>
    <w:rsid w:val="00F35BE3"/>
    <w:rsid w:val="00F40A18"/>
    <w:rsid w:val="00F56DB3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B9C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hanacademy.org" TargetMode="External"/><Relationship Id="rId18" Type="http://schemas.openxmlformats.org/officeDocument/2006/relationships/hyperlink" Target="http://www.cappex.com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collegeraptor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/test-prep/sat" TargetMode="External"/><Relationship Id="rId17" Type="http://schemas.openxmlformats.org/officeDocument/2006/relationships/hyperlink" Target="http://www.collegeraptor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gfuture.collegeboard.org/" TargetMode="External"/><Relationship Id="rId20" Type="http://schemas.openxmlformats.org/officeDocument/2006/relationships/hyperlink" Target="http://www.bigfuture.collegeboard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khanacademy.org" TargetMode="External"/><Relationship Id="rId23" Type="http://schemas.openxmlformats.org/officeDocument/2006/relationships/hyperlink" Target="http://www.nces.ed.gov/collegenavigato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hanacademy.org/test-prep/sat" TargetMode="External"/><Relationship Id="rId22" Type="http://schemas.openxmlformats.org/officeDocument/2006/relationships/hyperlink" Target="http://www.cappex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7744-7394-4B8C-8F2D-40590B2C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2018-07-03T15:27:00Z</dcterms:created>
  <dcterms:modified xsi:type="dcterms:W3CDTF">2018-07-03T15:27:00Z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