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EED3" w14:textId="43984925" w:rsidR="0098622F" w:rsidRDefault="00704135" w:rsidP="00D101AF">
      <w:pPr>
        <w:pStyle w:val="Heading1"/>
        <w:rPr>
          <w:b/>
        </w:rPr>
      </w:pPr>
      <w:r>
        <w:t xml:space="preserve">Campus Event Travel Guidance: </w:t>
      </w:r>
      <w:r>
        <w:rPr>
          <w:b/>
        </w:rPr>
        <w:t>Family College Visits</w:t>
      </w:r>
    </w:p>
    <w:p w14:paraId="443AEDBA" w14:textId="79ABA5E0" w:rsidR="00C42CC2" w:rsidRPr="00C42CC2" w:rsidRDefault="00C42CC2" w:rsidP="00C42CC2">
      <w:pPr>
        <w:pStyle w:val="Heading2"/>
      </w:pPr>
      <w:r>
        <w:t>For the Class or 2023 and 2024</w:t>
      </w:r>
    </w:p>
    <w:p w14:paraId="4015341E" w14:textId="77777777" w:rsidR="0067781B" w:rsidRDefault="0067781B" w:rsidP="00D101AF">
      <w:pPr>
        <w:spacing w:after="0"/>
      </w:pPr>
    </w:p>
    <w:p w14:paraId="7A674DD7" w14:textId="08ABC0EF" w:rsidR="00D53DEB" w:rsidRDefault="00625D93" w:rsidP="00D101AF">
      <w:pPr>
        <w:spacing w:after="0"/>
      </w:pPr>
      <w:r>
        <w:t>GEAR UP will support family college visits and family attendance at campus orientation</w:t>
      </w:r>
      <w:r w:rsidR="00166623">
        <w:t>,</w:t>
      </w:r>
      <w:r>
        <w:t xml:space="preserve"> welcome events </w:t>
      </w:r>
      <w:r w:rsidR="00166623">
        <w:t xml:space="preserve">and other campus hosted student events </w:t>
      </w:r>
      <w:r>
        <w:t>for the Class of 2023 students</w:t>
      </w:r>
      <w:r w:rsidR="00D53DEB">
        <w:t xml:space="preserve">.  </w:t>
      </w:r>
      <w:r>
        <w:t xml:space="preserve">GEAR UP will support costs as noted below for the student and one family member or guardian. </w:t>
      </w:r>
    </w:p>
    <w:p w14:paraId="74415020" w14:textId="77777777" w:rsidR="0067781B" w:rsidRDefault="0067781B" w:rsidP="00D101AF">
      <w:pPr>
        <w:spacing w:after="0"/>
      </w:pPr>
    </w:p>
    <w:p w14:paraId="20847697" w14:textId="77777777" w:rsidR="0067781B" w:rsidRDefault="0067781B" w:rsidP="00D101AF">
      <w:pPr>
        <w:spacing w:after="0"/>
      </w:pPr>
    </w:p>
    <w:tbl>
      <w:tblPr>
        <w:tblStyle w:val="GridTable1Light-Accent1"/>
        <w:tblW w:w="5000" w:type="pct"/>
        <w:tblLook w:val="04A0" w:firstRow="1" w:lastRow="0" w:firstColumn="1" w:lastColumn="0" w:noHBand="0" w:noVBand="1"/>
      </w:tblPr>
      <w:tblGrid>
        <w:gridCol w:w="1976"/>
        <w:gridCol w:w="8094"/>
      </w:tblGrid>
      <w:tr w:rsidR="00386CDF" w:rsidRPr="00386CDF" w14:paraId="093D32B1" w14:textId="77777777" w:rsidTr="006778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1" w:type="pct"/>
          </w:tcPr>
          <w:p w14:paraId="2C7A76B2" w14:textId="7AF7743A" w:rsidR="00386CDF" w:rsidRPr="00386CDF" w:rsidRDefault="00386CDF" w:rsidP="0067781B">
            <w:pPr>
              <w:rPr>
                <w:rStyle w:val="Heading2Char"/>
              </w:rPr>
            </w:pPr>
            <w:r w:rsidRPr="00386CDF">
              <w:rPr>
                <w:rStyle w:val="Heading2Char"/>
              </w:rPr>
              <w:t>Ensuring Equity:</w:t>
            </w:r>
          </w:p>
        </w:tc>
        <w:tc>
          <w:tcPr>
            <w:tcW w:w="4019" w:type="pct"/>
          </w:tcPr>
          <w:p w14:paraId="5567C6A9" w14:textId="4AD5ABAA" w:rsidR="00386CDF" w:rsidRPr="00386CDF" w:rsidRDefault="00386CDF" w:rsidP="0067781B">
            <w:pPr>
              <w:cnfStyle w:val="100000000000" w:firstRow="1" w:lastRow="0" w:firstColumn="0" w:lastColumn="0" w:oddVBand="0" w:evenVBand="0" w:oddHBand="0" w:evenHBand="0" w:firstRowFirstColumn="0" w:firstRowLastColumn="0" w:lastRowFirstColumn="0" w:lastRowLastColumn="0"/>
            </w:pPr>
            <w:r w:rsidRPr="00386CDF">
              <w:t xml:space="preserve">Schools must have in place a process for all eligible students to request support for family campus visits. The process shall include at least the GEAR UP Coordinator and one building administrator involved in prioritizing students based on financial need and determining who will receive support based on the available resources. </w:t>
            </w:r>
          </w:p>
        </w:tc>
      </w:tr>
      <w:tr w:rsidR="00386CDF" w:rsidRPr="00386CDF" w14:paraId="05C5B2C4" w14:textId="77777777" w:rsidTr="0067781B">
        <w:tc>
          <w:tcPr>
            <w:cnfStyle w:val="001000000000" w:firstRow="0" w:lastRow="0" w:firstColumn="1" w:lastColumn="0" w:oddVBand="0" w:evenVBand="0" w:oddHBand="0" w:evenHBand="0" w:firstRowFirstColumn="0" w:firstRowLastColumn="0" w:lastRowFirstColumn="0" w:lastRowLastColumn="0"/>
            <w:tcW w:w="981" w:type="pct"/>
          </w:tcPr>
          <w:p w14:paraId="34400A93" w14:textId="39F8E10A" w:rsidR="00386CDF" w:rsidRPr="00386CDF" w:rsidRDefault="00386CDF" w:rsidP="00386CDF">
            <w:pPr>
              <w:rPr>
                <w:rStyle w:val="Heading2Char"/>
              </w:rPr>
            </w:pPr>
            <w:r w:rsidRPr="00386CDF">
              <w:rPr>
                <w:rStyle w:val="Heading2Char"/>
              </w:rPr>
              <w:t>Allowable Locations:</w:t>
            </w:r>
          </w:p>
        </w:tc>
        <w:tc>
          <w:tcPr>
            <w:tcW w:w="4019" w:type="pct"/>
          </w:tcPr>
          <w:p w14:paraId="0BCE55FE" w14:textId="02277108" w:rsidR="00386CDF" w:rsidRPr="00386CDF" w:rsidRDefault="00386CDF" w:rsidP="00386CDF">
            <w:pPr>
              <w:cnfStyle w:val="000000000000" w:firstRow="0" w:lastRow="0" w:firstColumn="0" w:lastColumn="0" w:oddVBand="0" w:evenVBand="0" w:oddHBand="0" w:evenHBand="0" w:firstRowFirstColumn="0" w:firstRowLastColumn="0" w:lastRowFirstColumn="0" w:lastRowLastColumn="0"/>
            </w:pPr>
            <w:r w:rsidRPr="00386CDF">
              <w:t>Washington, Oregon, and Idaho college campuses.</w:t>
            </w:r>
          </w:p>
        </w:tc>
      </w:tr>
      <w:tr w:rsidR="00386CDF" w:rsidRPr="00386CDF" w14:paraId="0154012F" w14:textId="77777777" w:rsidTr="0067781B">
        <w:tc>
          <w:tcPr>
            <w:cnfStyle w:val="001000000000" w:firstRow="0" w:lastRow="0" w:firstColumn="1" w:lastColumn="0" w:oddVBand="0" w:evenVBand="0" w:oddHBand="0" w:evenHBand="0" w:firstRowFirstColumn="0" w:firstRowLastColumn="0" w:lastRowFirstColumn="0" w:lastRowLastColumn="0"/>
            <w:tcW w:w="981" w:type="pct"/>
          </w:tcPr>
          <w:p w14:paraId="63DDE0B7" w14:textId="1B25CB24" w:rsidR="00386CDF" w:rsidRPr="00386CDF" w:rsidRDefault="00386CDF" w:rsidP="00386CDF">
            <w:pPr>
              <w:rPr>
                <w:rStyle w:val="Heading2Char"/>
              </w:rPr>
            </w:pPr>
            <w:r w:rsidRPr="00386CDF">
              <w:rPr>
                <w:rStyle w:val="Heading2Char"/>
              </w:rPr>
              <w:t>Registration:</w:t>
            </w:r>
          </w:p>
        </w:tc>
        <w:tc>
          <w:tcPr>
            <w:tcW w:w="4019" w:type="pct"/>
          </w:tcPr>
          <w:p w14:paraId="0C67B33E" w14:textId="3E27E2F9" w:rsidR="00386CDF" w:rsidRPr="00386CDF" w:rsidRDefault="00386CDF" w:rsidP="00386CDF">
            <w:pPr>
              <w:cnfStyle w:val="000000000000" w:firstRow="0" w:lastRow="0" w:firstColumn="0" w:lastColumn="0" w:oddVBand="0" w:evenVBand="0" w:oddHBand="0" w:evenHBand="0" w:firstRowFirstColumn="0" w:firstRowLastColumn="0" w:lastRowFirstColumn="0" w:lastRowLastColumn="0"/>
            </w:pPr>
            <w:r w:rsidRPr="00386CDF">
              <w:t xml:space="preserve">If there is a registration fee to attend the event, GEAR UP may pay for the fee </w:t>
            </w:r>
            <w:r w:rsidRPr="00386CDF">
              <w:rPr>
                <w:b/>
                <w:bCs/>
              </w:rPr>
              <w:t xml:space="preserve">IF </w:t>
            </w:r>
            <w:r w:rsidRPr="00386CDF">
              <w:t xml:space="preserve">it is in the approved </w:t>
            </w:r>
            <w:proofErr w:type="gramStart"/>
            <w:r w:rsidRPr="00386CDF">
              <w:t>school work</w:t>
            </w:r>
            <w:proofErr w:type="gramEnd"/>
            <w:r w:rsidRPr="00386CDF">
              <w:t xml:space="preserve"> plan and budget to do so. However, if the school allows for the fee to be deferred until financial aid is received, then GEAR UP will not pay the fee. Documentation: Registration invoice. </w:t>
            </w:r>
          </w:p>
        </w:tc>
      </w:tr>
      <w:tr w:rsidR="00386CDF" w:rsidRPr="00386CDF" w14:paraId="2B766174" w14:textId="77777777" w:rsidTr="0067781B">
        <w:trPr>
          <w:trHeight w:val="701"/>
        </w:trPr>
        <w:tc>
          <w:tcPr>
            <w:cnfStyle w:val="001000000000" w:firstRow="0" w:lastRow="0" w:firstColumn="1" w:lastColumn="0" w:oddVBand="0" w:evenVBand="0" w:oddHBand="0" w:evenHBand="0" w:firstRowFirstColumn="0" w:firstRowLastColumn="0" w:lastRowFirstColumn="0" w:lastRowLastColumn="0"/>
            <w:tcW w:w="981" w:type="pct"/>
          </w:tcPr>
          <w:p w14:paraId="4F4DF470" w14:textId="180D048E" w:rsidR="00386CDF" w:rsidRPr="00386CDF" w:rsidRDefault="00386CDF" w:rsidP="00386CDF">
            <w:pPr>
              <w:rPr>
                <w:rStyle w:val="Heading2Char"/>
              </w:rPr>
            </w:pPr>
            <w:r w:rsidRPr="00386CDF">
              <w:rPr>
                <w:rStyle w:val="Heading2Char"/>
              </w:rPr>
              <w:t>Dates:</w:t>
            </w:r>
          </w:p>
        </w:tc>
        <w:tc>
          <w:tcPr>
            <w:tcW w:w="4019" w:type="pct"/>
          </w:tcPr>
          <w:p w14:paraId="0EBE0945" w14:textId="3EC337BE" w:rsidR="00386CDF" w:rsidRPr="00386CDF" w:rsidRDefault="00386CDF" w:rsidP="0067781B">
            <w:pPr>
              <w:cnfStyle w:val="000000000000" w:firstRow="0" w:lastRow="0" w:firstColumn="0" w:lastColumn="0" w:oddVBand="0" w:evenVBand="0" w:oddHBand="0" w:evenHBand="0" w:firstRowFirstColumn="0" w:firstRowLastColumn="0" w:lastRowFirstColumn="0" w:lastRowLastColumn="0"/>
              <w:rPr>
                <w:bCs/>
              </w:rPr>
            </w:pPr>
            <w:r w:rsidRPr="00386CDF">
              <w:rPr>
                <w:b/>
              </w:rPr>
              <w:t xml:space="preserve">Year 6 funding: </w:t>
            </w:r>
            <w:r w:rsidRPr="00386CDF">
              <w:rPr>
                <w:bCs/>
              </w:rPr>
              <w:t>Visits through August 31, 2023. Already allowed in Year 6 work plan/budget.</w:t>
            </w:r>
            <w:r w:rsidR="0067781B">
              <w:rPr>
                <w:bCs/>
              </w:rPr>
              <w:t xml:space="preserve"> </w:t>
            </w:r>
            <w:r w:rsidRPr="00386CDF">
              <w:rPr>
                <w:b/>
              </w:rPr>
              <w:t xml:space="preserve">Year 7 funding: </w:t>
            </w:r>
            <w:r w:rsidRPr="00386CDF">
              <w:rPr>
                <w:bCs/>
              </w:rPr>
              <w:t>Must be in Year 7 work plan/budget.</w:t>
            </w:r>
          </w:p>
        </w:tc>
      </w:tr>
      <w:tr w:rsidR="00386CDF" w:rsidRPr="00386CDF" w14:paraId="5F38C46D" w14:textId="77777777" w:rsidTr="0067781B">
        <w:tc>
          <w:tcPr>
            <w:cnfStyle w:val="001000000000" w:firstRow="0" w:lastRow="0" w:firstColumn="1" w:lastColumn="0" w:oddVBand="0" w:evenVBand="0" w:oddHBand="0" w:evenHBand="0" w:firstRowFirstColumn="0" w:firstRowLastColumn="0" w:lastRowFirstColumn="0" w:lastRowLastColumn="0"/>
            <w:tcW w:w="981" w:type="pct"/>
          </w:tcPr>
          <w:p w14:paraId="0D7D0E4E" w14:textId="518FC460" w:rsidR="00386CDF" w:rsidRPr="00386CDF" w:rsidRDefault="00386CDF" w:rsidP="00386CDF">
            <w:pPr>
              <w:rPr>
                <w:rStyle w:val="Heading2Char"/>
              </w:rPr>
            </w:pPr>
            <w:r w:rsidRPr="00386CDF">
              <w:rPr>
                <w:rStyle w:val="Heading2Char"/>
              </w:rPr>
              <w:t>Lodging:</w:t>
            </w:r>
          </w:p>
        </w:tc>
        <w:tc>
          <w:tcPr>
            <w:tcW w:w="4019" w:type="pct"/>
          </w:tcPr>
          <w:p w14:paraId="64A9C007" w14:textId="081905E9" w:rsidR="00386CDF" w:rsidRPr="00386CDF" w:rsidRDefault="00386CDF" w:rsidP="00386CDF">
            <w:pPr>
              <w:cnfStyle w:val="000000000000" w:firstRow="0" w:lastRow="0" w:firstColumn="0" w:lastColumn="0" w:oddVBand="0" w:evenVBand="0" w:oddHBand="0" w:evenHBand="0" w:firstRowFirstColumn="0" w:firstRowLastColumn="0" w:lastRowFirstColumn="0" w:lastRowLastColumn="0"/>
            </w:pPr>
            <w:r w:rsidRPr="00386CDF">
              <w:t xml:space="preserve">Lodging reimbursement is limited visits at least 100 miles away from home and/or for two-day events on campus. Lodging is limited to state per diem rates, and it is expected that families will share a room.  Documentation: Lodging/hotel receipt. </w:t>
            </w:r>
          </w:p>
        </w:tc>
      </w:tr>
      <w:tr w:rsidR="00386CDF" w:rsidRPr="00386CDF" w14:paraId="358F67FA" w14:textId="77777777" w:rsidTr="0067781B">
        <w:trPr>
          <w:trHeight w:val="1916"/>
        </w:trPr>
        <w:tc>
          <w:tcPr>
            <w:cnfStyle w:val="001000000000" w:firstRow="0" w:lastRow="0" w:firstColumn="1" w:lastColumn="0" w:oddVBand="0" w:evenVBand="0" w:oddHBand="0" w:evenHBand="0" w:firstRowFirstColumn="0" w:firstRowLastColumn="0" w:lastRowFirstColumn="0" w:lastRowLastColumn="0"/>
            <w:tcW w:w="981" w:type="pct"/>
          </w:tcPr>
          <w:p w14:paraId="6E2EB302" w14:textId="289911EB" w:rsidR="00386CDF" w:rsidRPr="00386CDF" w:rsidRDefault="00386CDF" w:rsidP="00386CDF">
            <w:pPr>
              <w:rPr>
                <w:rStyle w:val="Heading2Char"/>
              </w:rPr>
            </w:pPr>
            <w:r w:rsidRPr="00386CDF">
              <w:rPr>
                <w:rStyle w:val="Heading2Char"/>
              </w:rPr>
              <w:t>Meals:</w:t>
            </w:r>
            <w:r w:rsidRPr="00386CDF">
              <w:tab/>
            </w:r>
          </w:p>
        </w:tc>
        <w:tc>
          <w:tcPr>
            <w:tcW w:w="4019" w:type="pct"/>
          </w:tcPr>
          <w:p w14:paraId="640C7555" w14:textId="77777777" w:rsidR="00386CDF" w:rsidRPr="00386CDF" w:rsidRDefault="00386CDF" w:rsidP="00386CDF">
            <w:pPr>
              <w:cnfStyle w:val="000000000000" w:firstRow="0" w:lastRow="0" w:firstColumn="0" w:lastColumn="0" w:oddVBand="0" w:evenVBand="0" w:oddHBand="0" w:evenHBand="0" w:firstRowFirstColumn="0" w:firstRowLastColumn="0" w:lastRowFirstColumn="0" w:lastRowLastColumn="0"/>
            </w:pPr>
            <w:r w:rsidRPr="00386CDF">
              <w:t xml:space="preserve">Families (student and one adult) may be given meal money equal to the field trip cash allowance for students. Documentation required: Cash Meal Allowance Form. See guidance here:  </w:t>
            </w:r>
            <w:hyperlink r:id="rId9" w:history="1">
              <w:r w:rsidRPr="00386CDF">
                <w:rPr>
                  <w:rStyle w:val="Hyperlink"/>
                  <w:u w:val="none"/>
                </w:rPr>
                <w:t>https://gearup.wa.gov/file/student-field-trip-meal-allowance-form</w:t>
              </w:r>
            </w:hyperlink>
          </w:p>
          <w:p w14:paraId="1FD47B6B" w14:textId="4CFE317E" w:rsidR="00386CDF" w:rsidRPr="00386CDF" w:rsidRDefault="00386CDF" w:rsidP="00386CDF">
            <w:pPr>
              <w:cnfStyle w:val="000000000000" w:firstRow="0" w:lastRow="0" w:firstColumn="0" w:lastColumn="0" w:oddVBand="0" w:evenVBand="0" w:oddHBand="0" w:evenHBand="0" w:firstRowFirstColumn="0" w:firstRowLastColumn="0" w:lastRowFirstColumn="0" w:lastRowLastColumn="0"/>
            </w:pPr>
            <w:r w:rsidRPr="00386CDF">
              <w:t xml:space="preserve">Meals may be reimbursed based on depart and return times, just like with staff travel. See Travel Guidance for details: </w:t>
            </w:r>
            <w:hyperlink r:id="rId10" w:history="1">
              <w:r w:rsidRPr="00386CDF">
                <w:rPr>
                  <w:rStyle w:val="Hyperlink"/>
                </w:rPr>
                <w:t>https://gearup.wa.gov/sites/default/files/resources/travel_guidelines-Aug22.pdf</w:t>
              </w:r>
            </w:hyperlink>
            <w:r w:rsidRPr="00386CDF">
              <w:t xml:space="preserve"> </w:t>
            </w:r>
          </w:p>
        </w:tc>
      </w:tr>
      <w:tr w:rsidR="00386CDF" w:rsidRPr="00386CDF" w14:paraId="53F5E5C1" w14:textId="77777777" w:rsidTr="0067781B">
        <w:trPr>
          <w:trHeight w:val="1198"/>
        </w:trPr>
        <w:tc>
          <w:tcPr>
            <w:cnfStyle w:val="001000000000" w:firstRow="0" w:lastRow="0" w:firstColumn="1" w:lastColumn="0" w:oddVBand="0" w:evenVBand="0" w:oddHBand="0" w:evenHBand="0" w:firstRowFirstColumn="0" w:firstRowLastColumn="0" w:lastRowFirstColumn="0" w:lastRowLastColumn="0"/>
            <w:tcW w:w="981" w:type="pct"/>
          </w:tcPr>
          <w:p w14:paraId="7214532B" w14:textId="0A4E5595" w:rsidR="00386CDF" w:rsidRPr="00386CDF" w:rsidRDefault="00386CDF" w:rsidP="00386CDF">
            <w:pPr>
              <w:rPr>
                <w:rStyle w:val="Heading2Char"/>
              </w:rPr>
            </w:pPr>
            <w:r w:rsidRPr="00386CDF">
              <w:rPr>
                <w:rStyle w:val="Heading2Char"/>
              </w:rPr>
              <w:t>Transportation:</w:t>
            </w:r>
          </w:p>
        </w:tc>
        <w:tc>
          <w:tcPr>
            <w:tcW w:w="4019" w:type="pct"/>
          </w:tcPr>
          <w:p w14:paraId="1283A5FE" w14:textId="77777777" w:rsidR="00386CDF" w:rsidRPr="00386CDF" w:rsidRDefault="00386CDF" w:rsidP="00386CDF">
            <w:pPr>
              <w:cnfStyle w:val="000000000000" w:firstRow="0" w:lastRow="0" w:firstColumn="0" w:lastColumn="0" w:oddVBand="0" w:evenVBand="0" w:oddHBand="0" w:evenHBand="0" w:firstRowFirstColumn="0" w:firstRowLastColumn="0" w:lastRowFirstColumn="0" w:lastRowLastColumn="0"/>
            </w:pPr>
            <w:r w:rsidRPr="00386CDF">
              <w:t xml:space="preserve">Families may receive a fuel card, or a fuel card stipend based on the following calculation. Documentation required: Google Directions Mileage Estimate. </w:t>
            </w:r>
          </w:p>
          <w:p w14:paraId="5F83C921" w14:textId="77777777" w:rsidR="00386CDF" w:rsidRPr="00386CDF" w:rsidRDefault="00386CDF" w:rsidP="00386CDF">
            <w:pPr>
              <w:cnfStyle w:val="000000000000" w:firstRow="0" w:lastRow="0" w:firstColumn="0" w:lastColumn="0" w:oddVBand="0" w:evenVBand="0" w:oddHBand="0" w:evenHBand="0" w:firstRowFirstColumn="0" w:firstRowLastColumn="0" w:lastRowFirstColumn="0" w:lastRowLastColumn="0"/>
            </w:pPr>
            <w:r w:rsidRPr="00386CDF">
              <w:rPr>
                <w:b/>
              </w:rPr>
              <w:tab/>
              <w:t>(Round Trip Miles / 20) x $5.</w:t>
            </w:r>
            <w:r w:rsidRPr="00386CDF">
              <w:t>00 = Cost of Fuel</w:t>
            </w:r>
          </w:p>
          <w:p w14:paraId="7FC8C336" w14:textId="5DC7D83E" w:rsidR="00386CDF" w:rsidRPr="00386CDF" w:rsidRDefault="00386CDF" w:rsidP="00386CDF">
            <w:pPr>
              <w:cnfStyle w:val="000000000000" w:firstRow="0" w:lastRow="0" w:firstColumn="0" w:lastColumn="0" w:oddVBand="0" w:evenVBand="0" w:oddHBand="0" w:evenHBand="0" w:firstRowFirstColumn="0" w:firstRowLastColumn="0" w:lastRowFirstColumn="0" w:lastRowLastColumn="0"/>
            </w:pPr>
            <w:r w:rsidRPr="00386CDF">
              <w:rPr>
                <w:b/>
              </w:rPr>
              <w:tab/>
              <w:t>Example:</w:t>
            </w:r>
            <w:r w:rsidRPr="00386CDF">
              <w:t xml:space="preserve"> (140 miles/20) x $5.00 = $35.00</w:t>
            </w:r>
          </w:p>
        </w:tc>
      </w:tr>
      <w:tr w:rsidR="00386CDF" w14:paraId="6E4017C4" w14:textId="77777777" w:rsidTr="0067781B">
        <w:tc>
          <w:tcPr>
            <w:cnfStyle w:val="001000000000" w:firstRow="0" w:lastRow="0" w:firstColumn="1" w:lastColumn="0" w:oddVBand="0" w:evenVBand="0" w:oddHBand="0" w:evenHBand="0" w:firstRowFirstColumn="0" w:firstRowLastColumn="0" w:lastRowFirstColumn="0" w:lastRowLastColumn="0"/>
            <w:tcW w:w="981" w:type="pct"/>
          </w:tcPr>
          <w:p w14:paraId="5B728B5A" w14:textId="320EE2FF" w:rsidR="00386CDF" w:rsidRPr="00386CDF" w:rsidRDefault="00386CDF" w:rsidP="00386CDF">
            <w:pPr>
              <w:rPr>
                <w:rStyle w:val="Heading2Char"/>
              </w:rPr>
            </w:pPr>
            <w:r w:rsidRPr="00386CDF">
              <w:rPr>
                <w:rStyle w:val="Heading2Char"/>
              </w:rPr>
              <w:t>Not Allowable:</w:t>
            </w:r>
          </w:p>
        </w:tc>
        <w:tc>
          <w:tcPr>
            <w:tcW w:w="4019" w:type="pct"/>
          </w:tcPr>
          <w:p w14:paraId="2D173459" w14:textId="352CFC3E" w:rsidR="00386CDF" w:rsidRDefault="00386CDF" w:rsidP="00386CDF">
            <w:pPr>
              <w:cnfStyle w:val="000000000000" w:firstRow="0" w:lastRow="0" w:firstColumn="0" w:lastColumn="0" w:oddVBand="0" w:evenVBand="0" w:oddHBand="0" w:evenHBand="0" w:firstRowFirstColumn="0" w:firstRowLastColumn="0" w:lastRowFirstColumn="0" w:lastRowLastColumn="0"/>
            </w:pPr>
            <w:r w:rsidRPr="00386CDF">
              <w:t xml:space="preserve">Airfare or any related costs like airport parking, rental cars, any expenses for additional family members. </w:t>
            </w:r>
          </w:p>
        </w:tc>
      </w:tr>
    </w:tbl>
    <w:p w14:paraId="7DF63461" w14:textId="092B18EC" w:rsidR="00541251" w:rsidRDefault="00541251" w:rsidP="00386CDF"/>
    <w:sectPr w:rsidR="00541251" w:rsidSect="00C536D1">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7B731" w14:textId="77777777" w:rsidR="003552ED" w:rsidRDefault="003552ED" w:rsidP="003552ED">
      <w:pPr>
        <w:spacing w:after="0" w:line="240" w:lineRule="auto"/>
      </w:pPr>
      <w:r>
        <w:separator/>
      </w:r>
    </w:p>
  </w:endnote>
  <w:endnote w:type="continuationSeparator" w:id="0">
    <w:p w14:paraId="2D8AA716" w14:textId="77777777" w:rsidR="003552ED" w:rsidRDefault="003552ED" w:rsidP="0035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42267" w14:textId="6741DFBE" w:rsidR="0067781B" w:rsidRDefault="0067781B">
    <w:pPr>
      <w:pStyle w:val="Footer"/>
    </w:pPr>
    <w:r>
      <w:t xml:space="preserve">Rev. </w:t>
    </w:r>
    <w:r w:rsidR="00C42CC2">
      <w:t>Aug.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46785" w14:textId="77777777" w:rsidR="003552ED" w:rsidRDefault="003552ED" w:rsidP="003552ED">
      <w:pPr>
        <w:spacing w:after="0" w:line="240" w:lineRule="auto"/>
      </w:pPr>
      <w:r>
        <w:separator/>
      </w:r>
    </w:p>
  </w:footnote>
  <w:footnote w:type="continuationSeparator" w:id="0">
    <w:p w14:paraId="55EF3A3C" w14:textId="77777777" w:rsidR="003552ED" w:rsidRDefault="003552ED" w:rsidP="00355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A8D50" w14:textId="77777777" w:rsidR="003552ED" w:rsidRDefault="003552ED">
    <w:pPr>
      <w:pStyle w:val="Header"/>
    </w:pPr>
    <w:r>
      <w:rPr>
        <w:noProof/>
      </w:rPr>
      <w:drawing>
        <wp:anchor distT="0" distB="0" distL="114300" distR="114300" simplePos="0" relativeHeight="251658240" behindDoc="0" locked="0" layoutInCell="1" allowOverlap="1" wp14:anchorId="459AD0DB" wp14:editId="0A32B4A2">
          <wp:simplePos x="0" y="0"/>
          <wp:positionH relativeFrom="margin">
            <wp:posOffset>4978400</wp:posOffset>
          </wp:positionH>
          <wp:positionV relativeFrom="margin">
            <wp:posOffset>-728507</wp:posOffset>
          </wp:positionV>
          <wp:extent cx="1495425" cy="6877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5425" cy="6877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DEB"/>
    <w:rsid w:val="00002498"/>
    <w:rsid w:val="000065CF"/>
    <w:rsid w:val="00023A5D"/>
    <w:rsid w:val="00053D2E"/>
    <w:rsid w:val="000A7509"/>
    <w:rsid w:val="000B54C9"/>
    <w:rsid w:val="000B6CEF"/>
    <w:rsid w:val="00104BA9"/>
    <w:rsid w:val="0015010A"/>
    <w:rsid w:val="00162EC4"/>
    <w:rsid w:val="00166623"/>
    <w:rsid w:val="001A77C6"/>
    <w:rsid w:val="002079C3"/>
    <w:rsid w:val="002646A8"/>
    <w:rsid w:val="002820C0"/>
    <w:rsid w:val="00297BEA"/>
    <w:rsid w:val="003552ED"/>
    <w:rsid w:val="00361BD0"/>
    <w:rsid w:val="00386CDF"/>
    <w:rsid w:val="003A5A06"/>
    <w:rsid w:val="003E7EDD"/>
    <w:rsid w:val="004012AF"/>
    <w:rsid w:val="00404154"/>
    <w:rsid w:val="00512DA3"/>
    <w:rsid w:val="00541251"/>
    <w:rsid w:val="00570243"/>
    <w:rsid w:val="005C73B5"/>
    <w:rsid w:val="005D02C5"/>
    <w:rsid w:val="005F55C0"/>
    <w:rsid w:val="00625D93"/>
    <w:rsid w:val="0067781B"/>
    <w:rsid w:val="006838FE"/>
    <w:rsid w:val="006D6A00"/>
    <w:rsid w:val="006F718E"/>
    <w:rsid w:val="00704135"/>
    <w:rsid w:val="00742452"/>
    <w:rsid w:val="007536C0"/>
    <w:rsid w:val="00753EA2"/>
    <w:rsid w:val="00764C4D"/>
    <w:rsid w:val="007B7401"/>
    <w:rsid w:val="007D128C"/>
    <w:rsid w:val="007E0605"/>
    <w:rsid w:val="007E21A7"/>
    <w:rsid w:val="008148BA"/>
    <w:rsid w:val="00821763"/>
    <w:rsid w:val="0083705B"/>
    <w:rsid w:val="00852B8E"/>
    <w:rsid w:val="008930DB"/>
    <w:rsid w:val="008A1C8C"/>
    <w:rsid w:val="008A5AB9"/>
    <w:rsid w:val="008C5A3E"/>
    <w:rsid w:val="008E5A25"/>
    <w:rsid w:val="00911805"/>
    <w:rsid w:val="00912907"/>
    <w:rsid w:val="00915273"/>
    <w:rsid w:val="009311B2"/>
    <w:rsid w:val="00983884"/>
    <w:rsid w:val="0098622F"/>
    <w:rsid w:val="009B7A6C"/>
    <w:rsid w:val="009C1DC9"/>
    <w:rsid w:val="009F07C2"/>
    <w:rsid w:val="00A523ED"/>
    <w:rsid w:val="00A643DC"/>
    <w:rsid w:val="00A64679"/>
    <w:rsid w:val="00AA6BF4"/>
    <w:rsid w:val="00AB51C3"/>
    <w:rsid w:val="00AE2841"/>
    <w:rsid w:val="00AF32BD"/>
    <w:rsid w:val="00B25CAF"/>
    <w:rsid w:val="00B672BA"/>
    <w:rsid w:val="00B97972"/>
    <w:rsid w:val="00BA6D2D"/>
    <w:rsid w:val="00BC2F77"/>
    <w:rsid w:val="00C42CC2"/>
    <w:rsid w:val="00C536D1"/>
    <w:rsid w:val="00C94707"/>
    <w:rsid w:val="00CB049D"/>
    <w:rsid w:val="00D101AF"/>
    <w:rsid w:val="00D42E93"/>
    <w:rsid w:val="00D53DEB"/>
    <w:rsid w:val="00D85CEA"/>
    <w:rsid w:val="00E15327"/>
    <w:rsid w:val="00E70C78"/>
    <w:rsid w:val="00E74DE3"/>
    <w:rsid w:val="00EC68DB"/>
    <w:rsid w:val="00EF5E39"/>
    <w:rsid w:val="00EF631C"/>
    <w:rsid w:val="00F2340E"/>
    <w:rsid w:val="00F678E3"/>
    <w:rsid w:val="00F76C98"/>
    <w:rsid w:val="00F81360"/>
    <w:rsid w:val="00FA3B61"/>
    <w:rsid w:val="00FE6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B219ED"/>
  <w15:docId w15:val="{0C325D3D-DDE1-46FB-8916-B20BFF2D9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101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6C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3DEB"/>
    <w:pPr>
      <w:spacing w:after="0" w:line="240" w:lineRule="auto"/>
    </w:pPr>
  </w:style>
  <w:style w:type="paragraph" w:styleId="BalloonText">
    <w:name w:val="Balloon Text"/>
    <w:basedOn w:val="Normal"/>
    <w:link w:val="BalloonTextChar"/>
    <w:uiPriority w:val="99"/>
    <w:semiHidden/>
    <w:unhideWhenUsed/>
    <w:rsid w:val="00753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EA2"/>
    <w:rPr>
      <w:rFonts w:ascii="Segoe UI" w:hAnsi="Segoe UI" w:cs="Segoe UI"/>
      <w:sz w:val="18"/>
      <w:szCs w:val="18"/>
    </w:rPr>
  </w:style>
  <w:style w:type="character" w:styleId="Hyperlink">
    <w:name w:val="Hyperlink"/>
    <w:basedOn w:val="DefaultParagraphFont"/>
    <w:uiPriority w:val="99"/>
    <w:unhideWhenUsed/>
    <w:rsid w:val="00541251"/>
    <w:rPr>
      <w:color w:val="0563C1" w:themeColor="hyperlink"/>
      <w:u w:val="single"/>
    </w:rPr>
  </w:style>
  <w:style w:type="table" w:styleId="TableGrid">
    <w:name w:val="Table Grid"/>
    <w:basedOn w:val="TableNormal"/>
    <w:uiPriority w:val="39"/>
    <w:rsid w:val="00E70C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5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2ED"/>
  </w:style>
  <w:style w:type="paragraph" w:styleId="Footer">
    <w:name w:val="footer"/>
    <w:basedOn w:val="Normal"/>
    <w:link w:val="FooterChar"/>
    <w:uiPriority w:val="99"/>
    <w:unhideWhenUsed/>
    <w:rsid w:val="0035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2ED"/>
  </w:style>
  <w:style w:type="character" w:styleId="UnresolvedMention">
    <w:name w:val="Unresolved Mention"/>
    <w:basedOn w:val="DefaultParagraphFont"/>
    <w:uiPriority w:val="99"/>
    <w:semiHidden/>
    <w:unhideWhenUsed/>
    <w:rsid w:val="000B6CEF"/>
    <w:rPr>
      <w:color w:val="605E5C"/>
      <w:shd w:val="clear" w:color="auto" w:fill="E1DFDD"/>
    </w:rPr>
  </w:style>
  <w:style w:type="character" w:customStyle="1" w:styleId="Heading1Char">
    <w:name w:val="Heading 1 Char"/>
    <w:basedOn w:val="DefaultParagraphFont"/>
    <w:link w:val="Heading1"/>
    <w:uiPriority w:val="9"/>
    <w:rsid w:val="00D101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6CDF"/>
    <w:rPr>
      <w:rFonts w:asciiTheme="majorHAnsi" w:eastAsiaTheme="majorEastAsia" w:hAnsiTheme="majorHAnsi" w:cstheme="majorBidi"/>
      <w:color w:val="2E74B5" w:themeColor="accent1" w:themeShade="BF"/>
      <w:sz w:val="26"/>
      <w:szCs w:val="26"/>
    </w:rPr>
  </w:style>
  <w:style w:type="table" w:styleId="GridTable1Light-Accent1">
    <w:name w:val="Grid Table 1 Light Accent 1"/>
    <w:basedOn w:val="TableNormal"/>
    <w:uiPriority w:val="46"/>
    <w:rsid w:val="0067781B"/>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gearup.wa.gov/sites/default/files/resources/travel_guidelines-Aug22.pdf" TargetMode="External"/><Relationship Id="rId4" Type="http://schemas.openxmlformats.org/officeDocument/2006/relationships/styles" Target="styles.xml"/><Relationship Id="rId9" Type="http://schemas.openxmlformats.org/officeDocument/2006/relationships/hyperlink" Target="https://gearup.wa.gov/file/student-field-trip-meal-allowance-for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w Cen MT"/>
        <a:ea typeface=""/>
        <a:cs typeface=""/>
      </a:majorFont>
      <a:minorFont>
        <a:latin typeface="Tw Cen M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Props1.xml><?xml version="1.0" encoding="utf-8"?>
<ds:datastoreItem xmlns:ds="http://schemas.openxmlformats.org/officeDocument/2006/customXml" ds:itemID="{944148ED-73B9-4451-B523-3D9637927BBC}">
  <ds:schemaRefs>
    <ds:schemaRef ds:uri="http://schemas.microsoft.com/sharepoint/v3/contenttype/forms"/>
  </ds:schemaRefs>
</ds:datastoreItem>
</file>

<file path=customXml/itemProps2.xml><?xml version="1.0" encoding="utf-8"?>
<ds:datastoreItem xmlns:ds="http://schemas.openxmlformats.org/officeDocument/2006/customXml" ds:itemID="{33D16E48-DAAC-47C4-BF4A-498479818FF1}"/>
</file>

<file path=customXml/itemProps3.xml><?xml version="1.0" encoding="utf-8"?>
<ds:datastoreItem xmlns:ds="http://schemas.openxmlformats.org/officeDocument/2006/customXml" ds:itemID="{5D37BABD-7520-49E6-BDD4-BAD8029AA162}">
  <ds:schemaRefs>
    <ds:schemaRef ds:uri="http://schemas.microsoft.com/office/2006/metadata/properties"/>
    <ds:schemaRef ds:uri="http://schemas.microsoft.com/office/infopath/2007/PartnerControls"/>
    <ds:schemaRef ds:uri="http://schemas.microsoft.com/sharepoint/v3"/>
    <ds:schemaRef ds:uri="5e639225-d472-42e6-928f-095886cc035f"/>
    <ds:schemaRef ds:uri="54fbc30f-95dc-44dd-b098-5b77f5028df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Student Achievement Council</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 Lori (WSAC)</dc:creator>
  <cp:lastModifiedBy>Mills, Marcie (WSAC)</cp:lastModifiedBy>
  <cp:revision>2</cp:revision>
  <cp:lastPrinted>2015-09-17T21:45:00Z</cp:lastPrinted>
  <dcterms:created xsi:type="dcterms:W3CDTF">2023-08-10T21:02:00Z</dcterms:created>
  <dcterms:modified xsi:type="dcterms:W3CDTF">2023-08-10T21:02:00Z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0x01010042D70AD4CA126341B5EF876D28E7A21F</vt:lpwstr>
  </property>
  <property fmtid="{D5CDD505-2E9C-101B-9397-08002B2CF9AE}" pid="3" name="Order">
    <vt:r8>474800</vt:r8>
  </property>
  <property fmtid="{D5CDD505-2E9C-101B-9397-08002B2CF9AE}" pid="4" name="MediaServiceImageTags">
    <vt:lpwstr/>
  </property>
  <property fmtid="{D5CDD505-2E9C-101B-9397-08002B2CF9AE}" pid="5" name="GrammarlyDocumentId">
    <vt:lpwstr>46b84a3997057163f680220b32a020814dd8f2a9acc1785ce9b726740a1f34c6</vt:lpwstr>
  </property>
</Properties>
</file>